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64" w:rsidRPr="00086064" w:rsidRDefault="00086064" w:rsidP="00086064">
      <w:pPr>
        <w:jc w:val="center"/>
        <w:rPr>
          <w:rStyle w:val="SubtleEmphasis"/>
          <w:b/>
          <w:i w:val="0"/>
          <w:iCs w:val="0"/>
          <w:color w:val="auto"/>
        </w:rPr>
      </w:pPr>
      <w:r w:rsidRPr="00086064">
        <w:rPr>
          <w:rStyle w:val="SubtleEmphasis"/>
          <w:b/>
          <w:i w:val="0"/>
          <w:iCs w:val="0"/>
          <w:color w:val="auto"/>
        </w:rPr>
        <w:t>A framework for measuring</w:t>
      </w:r>
      <w:r w:rsidR="00C6328F">
        <w:rPr>
          <w:rStyle w:val="SubtleEmphasis"/>
          <w:b/>
          <w:i w:val="0"/>
          <w:iCs w:val="0"/>
          <w:color w:val="auto"/>
        </w:rPr>
        <w:t xml:space="preserve"> the </w:t>
      </w:r>
      <w:r w:rsidR="00AA36D1">
        <w:rPr>
          <w:rStyle w:val="SubtleEmphasis"/>
          <w:b/>
          <w:i w:val="0"/>
          <w:iCs w:val="0"/>
          <w:color w:val="auto"/>
        </w:rPr>
        <w:t xml:space="preserve">economic </w:t>
      </w:r>
      <w:r w:rsidR="00C6328F">
        <w:rPr>
          <w:rStyle w:val="SubtleEmphasis"/>
          <w:b/>
          <w:i w:val="0"/>
          <w:iCs w:val="0"/>
          <w:color w:val="auto"/>
        </w:rPr>
        <w:t>benefits of health information technology in primary care</w:t>
      </w:r>
      <w:r w:rsidRPr="00086064">
        <w:rPr>
          <w:rStyle w:val="SubtleEmphasis"/>
          <w:b/>
          <w:i w:val="0"/>
          <w:iCs w:val="0"/>
          <w:color w:val="auto"/>
        </w:rPr>
        <w:t xml:space="preserve"> </w:t>
      </w:r>
    </w:p>
    <w:p w:rsidR="00086064" w:rsidRDefault="00086064" w:rsidP="00086064"/>
    <w:p w:rsidR="00086064" w:rsidRPr="00415E53" w:rsidRDefault="00086064" w:rsidP="00086064">
      <w:pPr>
        <w:jc w:val="center"/>
        <w:rPr>
          <w:rStyle w:val="SubtleEmphasis"/>
          <w:rFonts w:ascii="Garamond" w:hAnsi="Garamond"/>
          <w:i w:val="0"/>
          <w:iCs w:val="0"/>
          <w:color w:val="auto"/>
        </w:rPr>
      </w:pPr>
      <w:r w:rsidRPr="00415E53">
        <w:rPr>
          <w:rStyle w:val="SubtleEmphasis"/>
          <w:rFonts w:ascii="Garamond" w:hAnsi="Garamond"/>
          <w:i w:val="0"/>
          <w:iCs w:val="0"/>
          <w:color w:val="auto"/>
        </w:rPr>
        <w:t>Greg Mason,</w:t>
      </w:r>
      <w:r w:rsidRPr="00415E53">
        <w:rPr>
          <w:rStyle w:val="FootnoteReference"/>
          <w:rFonts w:ascii="Garamond" w:hAnsi="Garamond"/>
        </w:rPr>
        <w:footnoteReference w:id="1"/>
      </w:r>
      <w:r w:rsidRPr="00415E53">
        <w:rPr>
          <w:rStyle w:val="SubtleEmphasis"/>
          <w:rFonts w:ascii="Garamond" w:hAnsi="Garamond"/>
          <w:i w:val="0"/>
          <w:iCs w:val="0"/>
          <w:color w:val="auto"/>
        </w:rPr>
        <w:t xml:space="preserve"> Andrew Buchel,</w:t>
      </w:r>
      <w:r w:rsidRPr="00415E53">
        <w:rPr>
          <w:rStyle w:val="FootnoteReference"/>
          <w:rFonts w:ascii="Garamond" w:hAnsi="Garamond"/>
        </w:rPr>
        <w:footnoteReference w:id="2"/>
      </w:r>
      <w:r w:rsidRPr="00415E53">
        <w:rPr>
          <w:rStyle w:val="SubtleEmphasis"/>
          <w:rFonts w:ascii="Garamond" w:hAnsi="Garamond"/>
          <w:i w:val="0"/>
          <w:iCs w:val="0"/>
          <w:color w:val="auto"/>
        </w:rPr>
        <w:t xml:space="preserve"> Mark Lenton,</w:t>
      </w:r>
      <w:r w:rsidRPr="00415E53">
        <w:rPr>
          <w:rStyle w:val="FootnoteReference"/>
          <w:rFonts w:ascii="Garamond" w:hAnsi="Garamond"/>
        </w:rPr>
        <w:footnoteReference w:id="3"/>
      </w:r>
      <w:r w:rsidRPr="00415E53">
        <w:rPr>
          <w:rStyle w:val="SubtleEmphasis"/>
          <w:rFonts w:ascii="Garamond" w:hAnsi="Garamond"/>
          <w:i w:val="0"/>
          <w:iCs w:val="0"/>
          <w:color w:val="auto"/>
        </w:rPr>
        <w:t xml:space="preserve"> Frances Lau</w:t>
      </w:r>
      <w:r w:rsidRPr="00415E53">
        <w:rPr>
          <w:rStyle w:val="FootnoteReference"/>
          <w:rFonts w:ascii="Garamond" w:hAnsi="Garamond"/>
        </w:rPr>
        <w:footnoteReference w:id="4"/>
      </w:r>
      <w:r w:rsidRPr="00415E53">
        <w:rPr>
          <w:rStyle w:val="SubtleEmphasis"/>
          <w:rFonts w:ascii="Garamond" w:hAnsi="Garamond"/>
          <w:i w:val="0"/>
          <w:iCs w:val="0"/>
          <w:color w:val="auto"/>
        </w:rPr>
        <w:t>, Morgan Price,</w:t>
      </w:r>
      <w:r w:rsidRPr="00415E53">
        <w:rPr>
          <w:rStyle w:val="FootnoteReference"/>
          <w:rFonts w:ascii="Garamond" w:hAnsi="Garamond"/>
        </w:rPr>
        <w:footnoteReference w:id="5"/>
      </w:r>
      <w:r w:rsidRPr="00415E53">
        <w:rPr>
          <w:rStyle w:val="SubtleEmphasis"/>
          <w:rFonts w:ascii="Garamond" w:hAnsi="Garamond"/>
          <w:i w:val="0"/>
          <w:iCs w:val="0"/>
          <w:color w:val="auto"/>
        </w:rPr>
        <w:t xml:space="preserve"> Alan Katz</w:t>
      </w:r>
      <w:r w:rsidRPr="00415E53">
        <w:rPr>
          <w:rStyle w:val="FootnoteReference"/>
          <w:rFonts w:ascii="Garamond" w:hAnsi="Garamond"/>
        </w:rPr>
        <w:footnoteReference w:id="6"/>
      </w:r>
      <w:r w:rsidRPr="00415E53">
        <w:rPr>
          <w:rStyle w:val="SubtleEmphasis"/>
          <w:rFonts w:ascii="Garamond" w:hAnsi="Garamond"/>
          <w:i w:val="0"/>
          <w:iCs w:val="0"/>
          <w:color w:val="auto"/>
        </w:rPr>
        <w:t>, Karim Keshavjee</w:t>
      </w:r>
      <w:r w:rsidRPr="00415E53">
        <w:rPr>
          <w:rStyle w:val="FootnoteReference"/>
          <w:rFonts w:ascii="Garamond" w:hAnsi="Garamond"/>
        </w:rPr>
        <w:footnoteReference w:id="7"/>
      </w:r>
      <w:r w:rsidRPr="00415E53">
        <w:rPr>
          <w:rStyle w:val="SubtleEmphasis"/>
          <w:rFonts w:ascii="Garamond" w:hAnsi="Garamond"/>
          <w:i w:val="0"/>
          <w:iCs w:val="0"/>
          <w:color w:val="auto"/>
        </w:rPr>
        <w:t>, Liisa Jaakimainen</w:t>
      </w:r>
      <w:r w:rsidRPr="00415E53">
        <w:rPr>
          <w:rStyle w:val="FootnoteReference"/>
          <w:rFonts w:ascii="Garamond" w:hAnsi="Garamond"/>
        </w:rPr>
        <w:footnoteReference w:id="8"/>
      </w:r>
      <w:r w:rsidRPr="00415E53">
        <w:rPr>
          <w:rStyle w:val="SubtleEmphasis"/>
          <w:rFonts w:ascii="Garamond" w:hAnsi="Garamond"/>
          <w:i w:val="0"/>
          <w:iCs w:val="0"/>
          <w:color w:val="auto"/>
        </w:rPr>
        <w:t>, Lisa Dolovich</w:t>
      </w:r>
      <w:r w:rsidRPr="00415E53">
        <w:rPr>
          <w:rStyle w:val="FootnoteReference"/>
          <w:rFonts w:ascii="Garamond" w:hAnsi="Garamond"/>
        </w:rPr>
        <w:footnoteReference w:id="9"/>
      </w:r>
    </w:p>
    <w:p w:rsidR="00086064" w:rsidRPr="00415E53" w:rsidRDefault="00086064" w:rsidP="00086064">
      <w:pPr>
        <w:jc w:val="center"/>
        <w:rPr>
          <w:rStyle w:val="SubtleEmphasis"/>
          <w:rFonts w:ascii="Garamond" w:hAnsi="Garamond"/>
          <w:i w:val="0"/>
          <w:iCs w:val="0"/>
          <w:color w:val="auto"/>
        </w:rPr>
      </w:pPr>
    </w:p>
    <w:p w:rsidR="00086064" w:rsidRDefault="00086064" w:rsidP="00086064"/>
    <w:p w:rsidR="00086064" w:rsidRPr="00086064" w:rsidRDefault="00086064" w:rsidP="00086064">
      <w:pPr>
        <w:pStyle w:val="Default"/>
        <w:rPr>
          <w:rFonts w:ascii="Garamond" w:hAnsi="Garamond"/>
        </w:rPr>
      </w:pPr>
    </w:p>
    <w:p w:rsidR="006841DF" w:rsidRPr="002144FD" w:rsidRDefault="006841DF" w:rsidP="00086064">
      <w:pPr>
        <w:rPr>
          <w:rFonts w:ascii="Garamond" w:hAnsi="Garamond"/>
          <w:b/>
        </w:rPr>
      </w:pPr>
      <w:r w:rsidRPr="002144FD">
        <w:rPr>
          <w:rFonts w:ascii="Garamond" w:hAnsi="Garamond"/>
          <w:b/>
        </w:rPr>
        <w:t>Abstract</w:t>
      </w:r>
    </w:p>
    <w:p w:rsidR="006841DF" w:rsidRDefault="006841DF" w:rsidP="00086064">
      <w:pPr>
        <w:rPr>
          <w:rFonts w:ascii="Garamond" w:hAnsi="Garamond"/>
        </w:rPr>
      </w:pPr>
    </w:p>
    <w:p w:rsidR="003600F4" w:rsidRPr="00B406E3" w:rsidRDefault="002144FD" w:rsidP="00086064">
      <w:pPr>
        <w:rPr>
          <w:rFonts w:ascii="Garamond" w:hAnsi="Garamond"/>
          <w:i/>
        </w:rPr>
      </w:pPr>
      <w:r w:rsidRPr="00B406E3">
        <w:rPr>
          <w:rFonts w:ascii="Garamond" w:hAnsi="Garamond"/>
          <w:i/>
        </w:rPr>
        <w:t>Investment in health information technologies (HIT) rests</w:t>
      </w:r>
      <w:r w:rsidR="00086064" w:rsidRPr="00B406E3">
        <w:rPr>
          <w:rFonts w:ascii="Garamond" w:hAnsi="Garamond"/>
          <w:i/>
        </w:rPr>
        <w:t xml:space="preserve"> on the idea that taxpayers will receive value for money. </w:t>
      </w:r>
      <w:r w:rsidRPr="00B406E3">
        <w:rPr>
          <w:rFonts w:ascii="Garamond" w:hAnsi="Garamond"/>
          <w:i/>
        </w:rPr>
        <w:t>Demonstrating the benefits of such investment has proved elusive. T</w:t>
      </w:r>
      <w:r w:rsidR="00086064" w:rsidRPr="00B406E3">
        <w:rPr>
          <w:rFonts w:ascii="Garamond" w:hAnsi="Garamond"/>
          <w:i/>
        </w:rPr>
        <w:t>o this point, the value proposition has tended to focus on the benefits experienced by individual practitioners, usually primary care clinics.</w:t>
      </w:r>
      <w:r w:rsidRPr="00B406E3">
        <w:rPr>
          <w:rFonts w:ascii="Garamond" w:hAnsi="Garamond"/>
          <w:i/>
        </w:rPr>
        <w:t xml:space="preserve"> </w:t>
      </w:r>
      <w:r w:rsidR="00086064" w:rsidRPr="00B406E3">
        <w:rPr>
          <w:rFonts w:ascii="Garamond" w:hAnsi="Garamond"/>
          <w:i/>
        </w:rPr>
        <w:t xml:space="preserve">This paper </w:t>
      </w:r>
      <w:r w:rsidRPr="00B406E3">
        <w:rPr>
          <w:rFonts w:ascii="Garamond" w:hAnsi="Garamond"/>
          <w:i/>
        </w:rPr>
        <w:t xml:space="preserve">draws on the </w:t>
      </w:r>
      <w:r w:rsidR="00CD0C92">
        <w:rPr>
          <w:rFonts w:ascii="Garamond" w:hAnsi="Garamond"/>
          <w:i/>
        </w:rPr>
        <w:t xml:space="preserve">program evaluation </w:t>
      </w:r>
      <w:r w:rsidRPr="00B406E3">
        <w:rPr>
          <w:rFonts w:ascii="Garamond" w:hAnsi="Garamond"/>
          <w:i/>
        </w:rPr>
        <w:t xml:space="preserve">concept of a logic model and the constituent results chains to create an </w:t>
      </w:r>
      <w:r w:rsidR="00086064" w:rsidRPr="00B406E3">
        <w:rPr>
          <w:rFonts w:ascii="Garamond" w:hAnsi="Garamond"/>
          <w:i/>
        </w:rPr>
        <w:t xml:space="preserve">evaluation framework for measuring the benefits arising from </w:t>
      </w:r>
      <w:r w:rsidRPr="00B406E3">
        <w:rPr>
          <w:rFonts w:ascii="Garamond" w:hAnsi="Garamond"/>
          <w:i/>
        </w:rPr>
        <w:t xml:space="preserve">HIT </w:t>
      </w:r>
      <w:r w:rsidR="00086064" w:rsidRPr="00B406E3">
        <w:rPr>
          <w:rFonts w:ascii="Garamond" w:hAnsi="Garamond"/>
          <w:i/>
        </w:rPr>
        <w:t>adoption</w:t>
      </w:r>
      <w:r w:rsidR="00CD0C92">
        <w:rPr>
          <w:rFonts w:ascii="Garamond" w:hAnsi="Garamond"/>
          <w:i/>
        </w:rPr>
        <w:t xml:space="preserve"> in primary care</w:t>
      </w:r>
      <w:r w:rsidR="00086064" w:rsidRPr="00B406E3">
        <w:rPr>
          <w:rFonts w:ascii="Garamond" w:hAnsi="Garamond"/>
          <w:i/>
        </w:rPr>
        <w:t xml:space="preserve">. </w:t>
      </w:r>
      <w:r w:rsidR="00711A3C" w:rsidRPr="00B406E3">
        <w:rPr>
          <w:rFonts w:ascii="Garamond" w:hAnsi="Garamond"/>
          <w:i/>
        </w:rPr>
        <w:t xml:space="preserve"> </w:t>
      </w:r>
    </w:p>
    <w:p w:rsidR="002144FD" w:rsidRDefault="002144FD" w:rsidP="00086064">
      <w:pPr>
        <w:rPr>
          <w:rFonts w:ascii="Garamond" w:hAnsi="Garamond"/>
        </w:rPr>
      </w:pPr>
    </w:p>
    <w:p w:rsidR="003600F4" w:rsidRPr="003600F4" w:rsidRDefault="003600F4" w:rsidP="00086064">
      <w:pPr>
        <w:rPr>
          <w:rFonts w:ascii="Garamond" w:hAnsi="Garamond"/>
          <w:b/>
        </w:rPr>
      </w:pPr>
      <w:r w:rsidRPr="003600F4">
        <w:rPr>
          <w:rFonts w:ascii="Garamond" w:hAnsi="Garamond"/>
          <w:b/>
        </w:rPr>
        <w:t>Introduction</w:t>
      </w:r>
    </w:p>
    <w:p w:rsidR="003600F4" w:rsidRDefault="003600F4" w:rsidP="00086064">
      <w:pPr>
        <w:rPr>
          <w:rFonts w:ascii="Garamond" w:hAnsi="Garamond"/>
        </w:rPr>
      </w:pPr>
    </w:p>
    <w:p w:rsidR="00A857E0" w:rsidRPr="00B708D3" w:rsidRDefault="00A11C3B" w:rsidP="00C02973">
      <w:pPr>
        <w:autoSpaceDE w:val="0"/>
        <w:autoSpaceDN w:val="0"/>
        <w:adjustRightInd w:val="0"/>
        <w:rPr>
          <w:rFonts w:ascii="Garamond" w:hAnsi="Garamond"/>
        </w:rPr>
      </w:pPr>
      <w:r w:rsidRPr="00B708D3">
        <w:rPr>
          <w:rFonts w:ascii="Garamond" w:hAnsi="Garamond"/>
        </w:rPr>
        <w:t>There are currently two approaches to e</w:t>
      </w:r>
      <w:r w:rsidR="0039532A" w:rsidRPr="00B708D3">
        <w:rPr>
          <w:rFonts w:ascii="Garamond" w:hAnsi="Garamond"/>
        </w:rPr>
        <w:t xml:space="preserve">conomic benefit measurement of </w:t>
      </w:r>
      <w:r w:rsidRPr="00B708D3">
        <w:rPr>
          <w:rFonts w:ascii="Garamond" w:hAnsi="Garamond"/>
        </w:rPr>
        <w:t>HIT</w:t>
      </w:r>
      <w:r w:rsidR="005D2AE6" w:rsidRPr="00B708D3">
        <w:rPr>
          <w:rFonts w:ascii="Garamond" w:hAnsi="Garamond"/>
        </w:rPr>
        <w:t>.  Some are particularistic and examine specific benefits in only selected domains.  For example,</w:t>
      </w:r>
      <w:r w:rsidRPr="00B708D3">
        <w:rPr>
          <w:rFonts w:ascii="Garamond" w:hAnsi="Garamond"/>
        </w:rPr>
        <w:t xml:space="preserve"> a commonly alleged benefit is that</w:t>
      </w:r>
      <w:r w:rsidR="005D2AE6" w:rsidRPr="00B708D3">
        <w:rPr>
          <w:rFonts w:ascii="Garamond" w:hAnsi="Garamond"/>
        </w:rPr>
        <w:t xml:space="preserve"> HIT </w:t>
      </w:r>
      <w:r w:rsidRPr="00B708D3">
        <w:rPr>
          <w:rFonts w:ascii="Garamond" w:hAnsi="Garamond"/>
        </w:rPr>
        <w:t>will</w:t>
      </w:r>
      <w:r w:rsidR="005D2AE6" w:rsidRPr="00B708D3">
        <w:rPr>
          <w:rFonts w:ascii="Garamond" w:hAnsi="Garamond"/>
        </w:rPr>
        <w:t xml:space="preserve"> increase time savings for all parties, which</w:t>
      </w:r>
      <w:r w:rsidR="008531EE" w:rsidRPr="00B708D3">
        <w:rPr>
          <w:rFonts w:ascii="Garamond" w:hAnsi="Garamond"/>
        </w:rPr>
        <w:t>,</w:t>
      </w:r>
      <w:r w:rsidR="005D2AE6" w:rsidRPr="00B708D3">
        <w:rPr>
          <w:rFonts w:ascii="Garamond" w:hAnsi="Garamond"/>
        </w:rPr>
        <w:t xml:space="preserve"> when expressed as a monetary value, serves to create a financial payoff to the investment. Bu</w:t>
      </w:r>
      <w:r w:rsidR="006A4CA4" w:rsidRPr="00B708D3">
        <w:rPr>
          <w:rFonts w:ascii="Garamond" w:hAnsi="Garamond"/>
        </w:rPr>
        <w:t>n</w:t>
      </w:r>
      <w:r w:rsidR="0039532A" w:rsidRPr="00B708D3">
        <w:rPr>
          <w:rFonts w:ascii="Garamond" w:hAnsi="Garamond"/>
        </w:rPr>
        <w:t xml:space="preserve">tin, Burke, Hoaglin, and Blumenthal </w:t>
      </w:r>
      <w:r w:rsidR="005D2AE6" w:rsidRPr="00B708D3">
        <w:rPr>
          <w:rFonts w:ascii="Garamond" w:hAnsi="Garamond"/>
        </w:rPr>
        <w:t>(2011</w:t>
      </w:r>
      <w:r w:rsidR="008531EE" w:rsidRPr="00B708D3">
        <w:rPr>
          <w:rFonts w:ascii="Garamond" w:hAnsi="Garamond"/>
        </w:rPr>
        <w:t>)</w:t>
      </w:r>
      <w:r w:rsidR="0039532A" w:rsidRPr="00B708D3">
        <w:rPr>
          <w:rFonts w:ascii="Garamond" w:hAnsi="Garamond"/>
        </w:rPr>
        <w:t xml:space="preserve"> and Belletti, Zacker, and Mullins (</w:t>
      </w:r>
      <w:r w:rsidR="00E2585C" w:rsidRPr="00B708D3">
        <w:rPr>
          <w:rFonts w:ascii="Garamond" w:hAnsi="Garamond"/>
        </w:rPr>
        <w:t>2010</w:t>
      </w:r>
      <w:r w:rsidR="0039532A" w:rsidRPr="00B708D3">
        <w:rPr>
          <w:rFonts w:ascii="Garamond" w:hAnsi="Garamond"/>
        </w:rPr>
        <w:t>)</w:t>
      </w:r>
      <w:r w:rsidR="00E2585C" w:rsidRPr="00B708D3">
        <w:rPr>
          <w:rFonts w:ascii="Garamond" w:hAnsi="Garamond"/>
        </w:rPr>
        <w:t xml:space="preserve"> </w:t>
      </w:r>
      <w:r w:rsidR="008531EE" w:rsidRPr="00B708D3">
        <w:rPr>
          <w:rFonts w:ascii="Garamond" w:hAnsi="Garamond"/>
        </w:rPr>
        <w:t>represent</w:t>
      </w:r>
      <w:r w:rsidR="005D2AE6" w:rsidRPr="00B708D3">
        <w:rPr>
          <w:rFonts w:ascii="Garamond" w:hAnsi="Garamond"/>
        </w:rPr>
        <w:t xml:space="preserve"> many studies that identify benefits based on provider surveys. </w:t>
      </w:r>
      <w:r w:rsidR="009C4E59" w:rsidRPr="00B708D3">
        <w:rPr>
          <w:rFonts w:ascii="Garamond" w:hAnsi="Garamond"/>
        </w:rPr>
        <w:t>DesRoches et al</w:t>
      </w:r>
      <w:r w:rsidR="004B1EC2" w:rsidRPr="00B708D3">
        <w:rPr>
          <w:rFonts w:ascii="Garamond" w:hAnsi="Garamond"/>
        </w:rPr>
        <w:t>.</w:t>
      </w:r>
      <w:r w:rsidR="009C4E59" w:rsidRPr="00B708D3">
        <w:rPr>
          <w:rFonts w:ascii="Garamond" w:hAnsi="Garamond"/>
        </w:rPr>
        <w:t xml:space="preserve"> (2008) present the attributes of an outpatient HIT sys</w:t>
      </w:r>
      <w:r w:rsidR="00C02973" w:rsidRPr="00B708D3">
        <w:rPr>
          <w:rFonts w:ascii="Garamond" w:hAnsi="Garamond"/>
        </w:rPr>
        <w:t xml:space="preserve">tem using four specific </w:t>
      </w:r>
      <w:r w:rsidR="009C4E59" w:rsidRPr="00B708D3">
        <w:rPr>
          <w:rFonts w:ascii="Garamond" w:hAnsi="Garamond"/>
        </w:rPr>
        <w:t xml:space="preserve">domains </w:t>
      </w:r>
      <w:r w:rsidR="004B1EC2" w:rsidRPr="00B708D3">
        <w:rPr>
          <w:rFonts w:ascii="Garamond" w:hAnsi="Garamond"/>
        </w:rPr>
        <w:t>—</w:t>
      </w:r>
      <w:r w:rsidR="009C4E59" w:rsidRPr="00B708D3">
        <w:rPr>
          <w:rFonts w:ascii="Garamond" w:hAnsi="Garamond"/>
        </w:rPr>
        <w:t xml:space="preserve"> health information and data, order-entry management, results management</w:t>
      </w:r>
      <w:r w:rsidR="004B1EC2" w:rsidRPr="00B708D3">
        <w:rPr>
          <w:rFonts w:ascii="Garamond" w:hAnsi="Garamond"/>
        </w:rPr>
        <w:t>,</w:t>
      </w:r>
      <w:r w:rsidR="009C4E59" w:rsidRPr="00B708D3">
        <w:rPr>
          <w:rFonts w:ascii="Garamond" w:hAnsi="Garamond"/>
        </w:rPr>
        <w:t xml:space="preserve"> and clinical decision support</w:t>
      </w:r>
      <w:r w:rsidR="00C02973" w:rsidRPr="00B708D3">
        <w:rPr>
          <w:rFonts w:ascii="Garamond" w:hAnsi="Garamond"/>
        </w:rPr>
        <w:t xml:space="preserve"> </w:t>
      </w:r>
      <w:r w:rsidR="004B1EC2" w:rsidRPr="00B708D3">
        <w:rPr>
          <w:rFonts w:ascii="Garamond" w:hAnsi="Garamond"/>
        </w:rPr>
        <w:t>—</w:t>
      </w:r>
      <w:r w:rsidR="00C02973" w:rsidRPr="00B708D3">
        <w:rPr>
          <w:rFonts w:ascii="Garamond" w:hAnsi="Garamond"/>
        </w:rPr>
        <w:t xml:space="preserve"> and a series of sub-domains, each of which directly links to health outcomes</w:t>
      </w:r>
      <w:r w:rsidR="009C4E59" w:rsidRPr="00B708D3">
        <w:rPr>
          <w:rFonts w:ascii="Garamond" w:hAnsi="Garamond"/>
        </w:rPr>
        <w:t xml:space="preserve">.  </w:t>
      </w:r>
      <w:r w:rsidR="005D2AE6" w:rsidRPr="00B708D3">
        <w:rPr>
          <w:rFonts w:ascii="Garamond" w:hAnsi="Garamond"/>
        </w:rPr>
        <w:t xml:space="preserve"> </w:t>
      </w:r>
      <w:r w:rsidR="009F2F9B" w:rsidRPr="00B708D3">
        <w:rPr>
          <w:rFonts w:ascii="Garamond" w:hAnsi="Garamond"/>
        </w:rPr>
        <w:t>At a more general systems level</w:t>
      </w:r>
      <w:r w:rsidR="00C02973" w:rsidRPr="00B708D3">
        <w:rPr>
          <w:rFonts w:ascii="Garamond" w:hAnsi="Garamond"/>
        </w:rPr>
        <w:t>,</w:t>
      </w:r>
      <w:r w:rsidR="009F2F9B" w:rsidRPr="00B708D3">
        <w:rPr>
          <w:rFonts w:ascii="Garamond" w:hAnsi="Garamond"/>
        </w:rPr>
        <w:t xml:space="preserve"> </w:t>
      </w:r>
      <w:r w:rsidR="00434286" w:rsidRPr="00B708D3">
        <w:rPr>
          <w:rFonts w:ascii="Garamond" w:hAnsi="Garamond"/>
        </w:rPr>
        <w:t xml:space="preserve">Lau (2011) </w:t>
      </w:r>
      <w:r w:rsidR="009F2F9B" w:rsidRPr="00B708D3">
        <w:rPr>
          <w:rFonts w:ascii="Garamond" w:hAnsi="Garamond"/>
        </w:rPr>
        <w:t>concludes that the large investments made in HIT have show</w:t>
      </w:r>
      <w:r w:rsidR="004B1EC2" w:rsidRPr="00B708D3">
        <w:rPr>
          <w:rFonts w:ascii="Garamond" w:hAnsi="Garamond"/>
        </w:rPr>
        <w:t>n</w:t>
      </w:r>
      <w:r w:rsidR="009F2F9B" w:rsidRPr="00B708D3">
        <w:rPr>
          <w:rFonts w:ascii="Garamond" w:hAnsi="Garamond"/>
        </w:rPr>
        <w:t xml:space="preserve"> “mixed results” in terms of benefits.  He further argues for an evaluation framework that operates at the micro, meso</w:t>
      </w:r>
      <w:r w:rsidR="004B1EC2" w:rsidRPr="00B708D3">
        <w:rPr>
          <w:rFonts w:ascii="Garamond" w:hAnsi="Garamond"/>
        </w:rPr>
        <w:t>,</w:t>
      </w:r>
      <w:r w:rsidR="009F2F9B" w:rsidRPr="00B708D3">
        <w:rPr>
          <w:rFonts w:ascii="Garamond" w:hAnsi="Garamond"/>
        </w:rPr>
        <w:t xml:space="preserve"> and macro level. </w:t>
      </w:r>
      <w:r w:rsidR="00CD0C92" w:rsidRPr="00B708D3">
        <w:rPr>
          <w:rFonts w:ascii="Garamond" w:hAnsi="Garamond"/>
        </w:rPr>
        <w:t xml:space="preserve">The micro </w:t>
      </w:r>
      <w:r w:rsidR="00C02973" w:rsidRPr="00B708D3">
        <w:rPr>
          <w:rFonts w:ascii="Garamond" w:hAnsi="Garamond"/>
        </w:rPr>
        <w:t xml:space="preserve">level </w:t>
      </w:r>
      <w:r w:rsidR="00CD0C92" w:rsidRPr="00B708D3">
        <w:rPr>
          <w:rFonts w:ascii="Garamond" w:hAnsi="Garamond"/>
        </w:rPr>
        <w:t>represent</w:t>
      </w:r>
      <w:r w:rsidR="00C02973" w:rsidRPr="00B708D3">
        <w:rPr>
          <w:rFonts w:ascii="Garamond" w:hAnsi="Garamond"/>
        </w:rPr>
        <w:t xml:space="preserve">s benefits as </w:t>
      </w:r>
      <w:r w:rsidR="00AA7544" w:rsidRPr="00B708D3">
        <w:rPr>
          <w:rFonts w:ascii="Garamond" w:hAnsi="Garamond"/>
        </w:rPr>
        <w:t>emanating</w:t>
      </w:r>
      <w:r w:rsidR="00C02973" w:rsidRPr="00B708D3">
        <w:rPr>
          <w:rFonts w:ascii="Garamond" w:hAnsi="Garamond"/>
        </w:rPr>
        <w:t xml:space="preserve"> from </w:t>
      </w:r>
      <w:r w:rsidR="00C02973" w:rsidRPr="00B708D3">
        <w:rPr>
          <w:rFonts w:ascii="Garamond" w:eastAsiaTheme="minorHAnsi" w:hAnsi="Garamond"/>
        </w:rPr>
        <w:t>health</w:t>
      </w:r>
      <w:r w:rsidR="004B1EC2" w:rsidRPr="00B708D3">
        <w:rPr>
          <w:rFonts w:ascii="Garamond" w:eastAsiaTheme="minorHAnsi" w:hAnsi="Garamond"/>
        </w:rPr>
        <w:t xml:space="preserve"> </w:t>
      </w:r>
      <w:r w:rsidR="00C02973" w:rsidRPr="00B708D3">
        <w:rPr>
          <w:rFonts w:ascii="Garamond" w:eastAsiaTheme="minorHAnsi" w:hAnsi="Garamond"/>
        </w:rPr>
        <w:t>care quality, productivity</w:t>
      </w:r>
      <w:r w:rsidR="004B1EC2" w:rsidRPr="00B708D3">
        <w:rPr>
          <w:rFonts w:ascii="Garamond" w:eastAsiaTheme="minorHAnsi" w:hAnsi="Garamond"/>
        </w:rPr>
        <w:t>,</w:t>
      </w:r>
      <w:r w:rsidR="00C02973" w:rsidRPr="00B708D3">
        <w:rPr>
          <w:rFonts w:ascii="Garamond" w:eastAsiaTheme="minorHAnsi" w:hAnsi="Garamond"/>
        </w:rPr>
        <w:t xml:space="preserve"> and access</w:t>
      </w:r>
      <w:r w:rsidR="00C02973" w:rsidRPr="00B708D3">
        <w:rPr>
          <w:rFonts w:ascii="Garamond" w:hAnsi="Garamond"/>
        </w:rPr>
        <w:t>; the meso level focuses on implementation of HIT</w:t>
      </w:r>
      <w:r w:rsidR="004B1EC2" w:rsidRPr="00B708D3">
        <w:rPr>
          <w:rFonts w:ascii="Garamond" w:hAnsi="Garamond"/>
        </w:rPr>
        <w:t>;</w:t>
      </w:r>
      <w:r w:rsidR="00C02973" w:rsidRPr="00B708D3">
        <w:rPr>
          <w:rFonts w:ascii="Garamond" w:hAnsi="Garamond"/>
        </w:rPr>
        <w:t xml:space="preserve"> and the macro level stress</w:t>
      </w:r>
      <w:r w:rsidR="00AA7544" w:rsidRPr="00B708D3">
        <w:rPr>
          <w:rFonts w:ascii="Garamond" w:hAnsi="Garamond"/>
        </w:rPr>
        <w:t>es</w:t>
      </w:r>
      <w:r w:rsidR="004B1EC2" w:rsidRPr="00B708D3">
        <w:rPr>
          <w:rFonts w:ascii="Garamond" w:hAnsi="Garamond"/>
        </w:rPr>
        <w:t xml:space="preserve"> the role of standards, govern</w:t>
      </w:r>
      <w:r w:rsidR="00C02973" w:rsidRPr="00B708D3">
        <w:rPr>
          <w:rFonts w:ascii="Garamond" w:hAnsi="Garamond"/>
        </w:rPr>
        <w:t>ance</w:t>
      </w:r>
      <w:r w:rsidR="004B1EC2" w:rsidRPr="00B708D3">
        <w:rPr>
          <w:rFonts w:ascii="Garamond" w:hAnsi="Garamond"/>
        </w:rPr>
        <w:t>,</w:t>
      </w:r>
      <w:r w:rsidR="00C02973" w:rsidRPr="00B708D3">
        <w:rPr>
          <w:rFonts w:ascii="Garamond" w:hAnsi="Garamond"/>
        </w:rPr>
        <w:t xml:space="preserve"> and socio-economic/political trends in shaping benefits.</w:t>
      </w:r>
    </w:p>
    <w:p w:rsidR="00AA7544" w:rsidRPr="00B708D3" w:rsidRDefault="00AA7544" w:rsidP="00C02973">
      <w:pPr>
        <w:autoSpaceDE w:val="0"/>
        <w:autoSpaceDN w:val="0"/>
        <w:adjustRightInd w:val="0"/>
        <w:rPr>
          <w:rFonts w:ascii="Garamond" w:hAnsi="Garamond"/>
        </w:rPr>
      </w:pPr>
    </w:p>
    <w:p w:rsidR="00A857E0" w:rsidRDefault="00AA7544" w:rsidP="00AA7544">
      <w:pPr>
        <w:autoSpaceDE w:val="0"/>
        <w:autoSpaceDN w:val="0"/>
        <w:adjustRightInd w:val="0"/>
        <w:rPr>
          <w:rFonts w:ascii="Garamond" w:hAnsi="Garamond"/>
        </w:rPr>
      </w:pPr>
      <w:r w:rsidRPr="00B708D3">
        <w:rPr>
          <w:rFonts w:ascii="Garamond" w:hAnsi="Garamond"/>
        </w:rPr>
        <w:t>These approaches all serve useful purposes in describing how HIT can support increased health outcomes.  However</w:t>
      </w:r>
      <w:r w:rsidR="00DB4D56" w:rsidRPr="00B708D3">
        <w:rPr>
          <w:rFonts w:ascii="Garamond" w:hAnsi="Garamond"/>
        </w:rPr>
        <w:t>,</w:t>
      </w:r>
      <w:r w:rsidRPr="00B708D3">
        <w:rPr>
          <w:rFonts w:ascii="Garamond" w:hAnsi="Garamond"/>
        </w:rPr>
        <w:t xml:space="preserve"> they are not sufficiently general nor concrete to support actual measurement of outcomes in a form that will allow estimation of the value for money obtained from the investment in HIT.  </w:t>
      </w:r>
      <w:r w:rsidR="00A857E0" w:rsidRPr="00B708D3">
        <w:rPr>
          <w:rFonts w:ascii="Garamond" w:hAnsi="Garamond"/>
        </w:rPr>
        <w:t>This paper attempts to show that a general</w:t>
      </w:r>
      <w:r w:rsidR="009F2F9B" w:rsidRPr="00B708D3">
        <w:rPr>
          <w:rFonts w:ascii="Garamond" w:hAnsi="Garamond"/>
        </w:rPr>
        <w:t xml:space="preserve"> HIT</w:t>
      </w:r>
      <w:r w:rsidR="00A857E0" w:rsidRPr="00B708D3">
        <w:rPr>
          <w:rFonts w:ascii="Garamond" w:hAnsi="Garamond"/>
        </w:rPr>
        <w:t xml:space="preserve"> benefit evaluation</w:t>
      </w:r>
      <w:r w:rsidR="00CD0C92" w:rsidRPr="00B708D3">
        <w:rPr>
          <w:rFonts w:ascii="Garamond" w:hAnsi="Garamond"/>
        </w:rPr>
        <w:t xml:space="preserve"> framework </w:t>
      </w:r>
      <w:r w:rsidR="009F2F9B" w:rsidRPr="00B708D3">
        <w:rPr>
          <w:rFonts w:ascii="Garamond" w:hAnsi="Garamond"/>
        </w:rPr>
        <w:t>that emerges</w:t>
      </w:r>
      <w:r w:rsidR="004B1EC2" w:rsidRPr="00B708D3">
        <w:rPr>
          <w:rFonts w:ascii="Garamond" w:hAnsi="Garamond"/>
        </w:rPr>
        <w:t xml:space="preserve"> from two theoretical sources</w:t>
      </w:r>
      <w:r w:rsidR="00DB4D56" w:rsidRPr="00B708D3">
        <w:rPr>
          <w:rFonts w:ascii="Garamond" w:hAnsi="Garamond"/>
        </w:rPr>
        <w:t xml:space="preserve"> may be created</w:t>
      </w:r>
      <w:r w:rsidR="004B1EC2" w:rsidRPr="00B708D3">
        <w:rPr>
          <w:rFonts w:ascii="Garamond" w:hAnsi="Garamond"/>
        </w:rPr>
        <w:t>.</w:t>
      </w:r>
    </w:p>
    <w:p w:rsidR="00AD73E1" w:rsidRDefault="00AD73E1" w:rsidP="00086064">
      <w:pPr>
        <w:rPr>
          <w:rFonts w:ascii="Garamond" w:hAnsi="Garamond"/>
        </w:rPr>
        <w:sectPr w:rsidR="00AD73E1" w:rsidSect="0057136C">
          <w:pgSz w:w="12240" w:h="15840"/>
          <w:pgMar w:top="1440" w:right="1440" w:bottom="1440" w:left="1440" w:header="720" w:footer="720" w:gutter="0"/>
          <w:cols w:space="720"/>
          <w:docGrid w:linePitch="360"/>
        </w:sectPr>
      </w:pPr>
    </w:p>
    <w:p w:rsidR="00A857E0" w:rsidRDefault="00A857E0" w:rsidP="00086064">
      <w:pPr>
        <w:rPr>
          <w:rFonts w:ascii="Garamond" w:hAnsi="Garamond"/>
        </w:rPr>
      </w:pPr>
    </w:p>
    <w:p w:rsidR="00A857E0" w:rsidRPr="00B708D3" w:rsidRDefault="00A857E0" w:rsidP="00A857E0">
      <w:pPr>
        <w:pStyle w:val="ListParagraph"/>
        <w:numPr>
          <w:ilvl w:val="0"/>
          <w:numId w:val="22"/>
        </w:numPr>
        <w:rPr>
          <w:rFonts w:ascii="Garamond" w:hAnsi="Garamond"/>
        </w:rPr>
      </w:pPr>
      <w:r w:rsidRPr="00B708D3">
        <w:rPr>
          <w:rFonts w:ascii="Garamond" w:hAnsi="Garamond"/>
        </w:rPr>
        <w:t xml:space="preserve">The literature on HIT maturity models has refined the concept to comprise a set of system </w:t>
      </w:r>
      <w:r w:rsidR="00473FC5" w:rsidRPr="00B708D3">
        <w:rPr>
          <w:rFonts w:ascii="Garamond" w:hAnsi="Garamond"/>
        </w:rPr>
        <w:t xml:space="preserve">attributes </w:t>
      </w:r>
      <w:r w:rsidRPr="00B708D3">
        <w:rPr>
          <w:rFonts w:ascii="Garamond" w:hAnsi="Garamond"/>
        </w:rPr>
        <w:t xml:space="preserve">that support behaviour change and resulting changes in health status.  </w:t>
      </w:r>
    </w:p>
    <w:p w:rsidR="00A857E0" w:rsidRPr="00B708D3" w:rsidRDefault="00C6328F" w:rsidP="00A857E0">
      <w:pPr>
        <w:pStyle w:val="ListParagraph"/>
        <w:numPr>
          <w:ilvl w:val="0"/>
          <w:numId w:val="22"/>
        </w:numPr>
        <w:rPr>
          <w:rFonts w:ascii="Garamond" w:hAnsi="Garamond"/>
        </w:rPr>
      </w:pPr>
      <w:r w:rsidRPr="00B708D3">
        <w:rPr>
          <w:rFonts w:ascii="Garamond" w:hAnsi="Garamond"/>
        </w:rPr>
        <w:t>The concept of a logic model draw</w:t>
      </w:r>
      <w:r w:rsidR="004B1EC2" w:rsidRPr="00B708D3">
        <w:rPr>
          <w:rFonts w:ascii="Garamond" w:hAnsi="Garamond"/>
        </w:rPr>
        <w:t>n</w:t>
      </w:r>
      <w:r w:rsidRPr="00B708D3">
        <w:rPr>
          <w:rFonts w:ascii="Garamond" w:hAnsi="Garamond"/>
        </w:rPr>
        <w:t xml:space="preserve"> from the program evaluation literature provides the general framework for examining the </w:t>
      </w:r>
      <w:r w:rsidR="00CD0C92" w:rsidRPr="00B708D3">
        <w:rPr>
          <w:rFonts w:ascii="Garamond" w:hAnsi="Garamond"/>
        </w:rPr>
        <w:t xml:space="preserve">health status changes for component attributes and drawing these into a general evaluation framework.  This framework supports a benefit measurement strategy. </w:t>
      </w:r>
    </w:p>
    <w:p w:rsidR="00A857E0" w:rsidRPr="00B708D3" w:rsidRDefault="00A857E0" w:rsidP="00473FC5">
      <w:pPr>
        <w:ind w:left="360"/>
        <w:rPr>
          <w:rFonts w:ascii="Garamond" w:hAnsi="Garamond"/>
        </w:rPr>
      </w:pPr>
    </w:p>
    <w:p w:rsidR="00086064" w:rsidRPr="00B708D3" w:rsidRDefault="00473FC5" w:rsidP="00086064">
      <w:pPr>
        <w:rPr>
          <w:rFonts w:ascii="Garamond" w:hAnsi="Garamond"/>
        </w:rPr>
      </w:pPr>
      <w:r w:rsidRPr="00B708D3">
        <w:rPr>
          <w:rFonts w:ascii="Garamond" w:hAnsi="Garamond"/>
        </w:rPr>
        <w:t>This paper proceeds in three parts.  The first considers how HIT in a primary care setting may be characterized as a series of attributes supporting informational needs of practitioners</w:t>
      </w:r>
      <w:r w:rsidR="00CD0C92" w:rsidRPr="00B708D3">
        <w:rPr>
          <w:rFonts w:ascii="Garamond" w:hAnsi="Garamond"/>
        </w:rPr>
        <w:t xml:space="preserve"> and patients</w:t>
      </w:r>
      <w:r w:rsidRPr="00B708D3">
        <w:rPr>
          <w:rFonts w:ascii="Garamond" w:hAnsi="Garamond"/>
        </w:rPr>
        <w:t xml:space="preserve">.  Increased timeliness and </w:t>
      </w:r>
      <w:r w:rsidR="00086877" w:rsidRPr="00B708D3">
        <w:rPr>
          <w:rFonts w:ascii="Garamond" w:hAnsi="Garamond"/>
        </w:rPr>
        <w:t>breadth</w:t>
      </w:r>
      <w:r w:rsidR="00CD0C92" w:rsidRPr="00B708D3">
        <w:rPr>
          <w:rFonts w:ascii="Garamond" w:hAnsi="Garamond"/>
        </w:rPr>
        <w:t xml:space="preserve">/depth </w:t>
      </w:r>
      <w:r w:rsidR="00086877" w:rsidRPr="00B708D3">
        <w:rPr>
          <w:rFonts w:ascii="Garamond" w:hAnsi="Garamond"/>
        </w:rPr>
        <w:t>of information</w:t>
      </w:r>
      <w:r w:rsidR="00CD0C92" w:rsidRPr="00B708D3">
        <w:rPr>
          <w:rFonts w:ascii="Garamond" w:hAnsi="Garamond"/>
        </w:rPr>
        <w:t xml:space="preserve"> content within the HIT </w:t>
      </w:r>
      <w:r w:rsidR="00086877" w:rsidRPr="00B708D3">
        <w:rPr>
          <w:rFonts w:ascii="Garamond" w:hAnsi="Garamond"/>
        </w:rPr>
        <w:t>should lead to behaviour changes that have measureable changes in health outcomes</w:t>
      </w:r>
      <w:r w:rsidR="004B1EC2" w:rsidRPr="00B708D3">
        <w:rPr>
          <w:rFonts w:ascii="Garamond" w:hAnsi="Garamond"/>
        </w:rPr>
        <w:t>.  The second part of the paper</w:t>
      </w:r>
      <w:r w:rsidR="00086877" w:rsidRPr="00B708D3">
        <w:rPr>
          <w:rFonts w:ascii="Garamond" w:hAnsi="Garamond"/>
        </w:rPr>
        <w:t xml:space="preserve"> places the attribute</w:t>
      </w:r>
      <w:r w:rsidR="00CD0C92" w:rsidRPr="00B708D3">
        <w:rPr>
          <w:rFonts w:ascii="Garamond" w:hAnsi="Garamond"/>
        </w:rPr>
        <w:t>s</w:t>
      </w:r>
      <w:r w:rsidR="00086877" w:rsidRPr="00B708D3">
        <w:rPr>
          <w:rFonts w:ascii="Garamond" w:hAnsi="Garamond"/>
        </w:rPr>
        <w:t xml:space="preserve"> into a general benefit evaluation framework that supports the identification of a series of results chains.  Each of these results chains forms a causal logic capable of empirical assessment, which</w:t>
      </w:r>
      <w:r w:rsidR="0032488F" w:rsidRPr="00B708D3">
        <w:rPr>
          <w:rFonts w:ascii="Garamond" w:hAnsi="Garamond"/>
        </w:rPr>
        <w:t>,</w:t>
      </w:r>
      <w:r w:rsidR="00086877" w:rsidRPr="00B708D3">
        <w:rPr>
          <w:rFonts w:ascii="Garamond" w:hAnsi="Garamond"/>
        </w:rPr>
        <w:t xml:space="preserve"> in turn</w:t>
      </w:r>
      <w:r w:rsidR="0032488F" w:rsidRPr="00B708D3">
        <w:rPr>
          <w:rFonts w:ascii="Garamond" w:hAnsi="Garamond"/>
        </w:rPr>
        <w:t>,</w:t>
      </w:r>
      <w:r w:rsidR="00086877" w:rsidRPr="00B708D3">
        <w:rPr>
          <w:rFonts w:ascii="Garamond" w:hAnsi="Garamond"/>
        </w:rPr>
        <w:t xml:space="preserve"> supports the measurement of benefits.  Aggregating the benefits across the entire logic model creates the general measure of HIT benefit</w:t>
      </w:r>
      <w:r w:rsidR="00A11C3B" w:rsidRPr="00B708D3">
        <w:rPr>
          <w:rFonts w:ascii="Garamond" w:hAnsi="Garamond"/>
        </w:rPr>
        <w:t>s</w:t>
      </w:r>
      <w:r w:rsidR="00086877" w:rsidRPr="00B708D3">
        <w:rPr>
          <w:rFonts w:ascii="Garamond" w:hAnsi="Garamond"/>
        </w:rPr>
        <w:t xml:space="preserve">.  The third part of the paper considers the range of empirical assessment that </w:t>
      </w:r>
      <w:r w:rsidR="007E3D83" w:rsidRPr="00B708D3">
        <w:rPr>
          <w:rFonts w:ascii="Garamond" w:hAnsi="Garamond"/>
        </w:rPr>
        <w:t>supports</w:t>
      </w:r>
      <w:r w:rsidR="00086877" w:rsidRPr="00B708D3">
        <w:rPr>
          <w:rFonts w:ascii="Garamond" w:hAnsi="Garamond"/>
        </w:rPr>
        <w:t xml:space="preserve"> measurement of HIT benefits</w:t>
      </w:r>
      <w:r w:rsidR="00CD0C92" w:rsidRPr="00B708D3">
        <w:rPr>
          <w:rFonts w:ascii="Garamond" w:hAnsi="Garamond"/>
        </w:rPr>
        <w:t xml:space="preserve"> arising from the attribute – behaviour change – status outcome causal logic</w:t>
      </w:r>
      <w:r w:rsidR="00086877" w:rsidRPr="00B708D3">
        <w:rPr>
          <w:rFonts w:ascii="Garamond" w:hAnsi="Garamond"/>
        </w:rPr>
        <w:t xml:space="preserve">.  The paper focuses </w:t>
      </w:r>
      <w:r w:rsidR="007E3D83" w:rsidRPr="00B708D3">
        <w:rPr>
          <w:rFonts w:ascii="Garamond" w:hAnsi="Garamond"/>
        </w:rPr>
        <w:t>on primary care to ensure that the discussion remains tractable</w:t>
      </w:r>
      <w:r w:rsidR="00CD0C92" w:rsidRPr="00B708D3">
        <w:rPr>
          <w:rFonts w:ascii="Garamond" w:hAnsi="Garamond"/>
        </w:rPr>
        <w:t xml:space="preserve"> and grounded</w:t>
      </w:r>
      <w:r w:rsidR="007E3D83" w:rsidRPr="00B708D3">
        <w:rPr>
          <w:rFonts w:ascii="Garamond" w:hAnsi="Garamond"/>
        </w:rPr>
        <w:t>.</w:t>
      </w:r>
    </w:p>
    <w:p w:rsidR="00473FC5" w:rsidRPr="00B708D3" w:rsidRDefault="00473FC5" w:rsidP="00086064">
      <w:pPr>
        <w:rPr>
          <w:rFonts w:ascii="Garamond" w:hAnsi="Garamond"/>
          <w:b/>
        </w:rPr>
      </w:pPr>
    </w:p>
    <w:p w:rsidR="00086064" w:rsidRPr="00B708D3" w:rsidRDefault="007E3D83" w:rsidP="00086064">
      <w:pPr>
        <w:rPr>
          <w:rFonts w:ascii="Garamond" w:hAnsi="Garamond"/>
          <w:b/>
        </w:rPr>
      </w:pPr>
      <w:r w:rsidRPr="00B708D3">
        <w:rPr>
          <w:rFonts w:ascii="Garamond" w:hAnsi="Garamond"/>
          <w:b/>
        </w:rPr>
        <w:t>HIT attributes, behaviour change, and hea</w:t>
      </w:r>
      <w:r w:rsidR="00003083" w:rsidRPr="00B708D3">
        <w:rPr>
          <w:rFonts w:ascii="Garamond" w:hAnsi="Garamond"/>
          <w:b/>
        </w:rPr>
        <w:t>l</w:t>
      </w:r>
      <w:r w:rsidRPr="00B708D3">
        <w:rPr>
          <w:rFonts w:ascii="Garamond" w:hAnsi="Garamond"/>
          <w:b/>
        </w:rPr>
        <w:t>th outcomes</w:t>
      </w:r>
      <w:r w:rsidR="003600F4" w:rsidRPr="00B708D3">
        <w:rPr>
          <w:rFonts w:ascii="Garamond" w:hAnsi="Garamond"/>
          <w:b/>
        </w:rPr>
        <w:t xml:space="preserve"> </w:t>
      </w:r>
    </w:p>
    <w:p w:rsidR="00086064" w:rsidRPr="00B708D3" w:rsidRDefault="00086064" w:rsidP="00086064">
      <w:pPr>
        <w:rPr>
          <w:rFonts w:ascii="Garamond" w:hAnsi="Garamond"/>
        </w:rPr>
      </w:pPr>
    </w:p>
    <w:p w:rsidR="0093558F" w:rsidRPr="00B708D3" w:rsidRDefault="00086064" w:rsidP="00CD0C92">
      <w:pPr>
        <w:rPr>
          <w:rFonts w:ascii="Garamond" w:hAnsi="Garamond"/>
        </w:rPr>
      </w:pPr>
      <w:r w:rsidRPr="00B708D3">
        <w:rPr>
          <w:rFonts w:ascii="Garamond" w:hAnsi="Garamond"/>
        </w:rPr>
        <w:t>It is easiest to start the discussion using, as an example, a single health</w:t>
      </w:r>
      <w:r w:rsidR="004B1EC2" w:rsidRPr="00B708D3">
        <w:rPr>
          <w:rFonts w:ascii="Garamond" w:hAnsi="Garamond"/>
        </w:rPr>
        <w:t xml:space="preserve"> </w:t>
      </w:r>
      <w:r w:rsidRPr="00B708D3">
        <w:rPr>
          <w:rFonts w:ascii="Garamond" w:hAnsi="Garamond"/>
        </w:rPr>
        <w:t>care clinic, which can range from a single physician and assistant (increasingly rare) to group practices with diverse physician teams and other health</w:t>
      </w:r>
      <w:r w:rsidR="004B1EC2" w:rsidRPr="00B708D3">
        <w:rPr>
          <w:rFonts w:ascii="Garamond" w:hAnsi="Garamond"/>
        </w:rPr>
        <w:t xml:space="preserve"> </w:t>
      </w:r>
      <w:r w:rsidRPr="00B708D3">
        <w:rPr>
          <w:rFonts w:ascii="Garamond" w:hAnsi="Garamond"/>
        </w:rPr>
        <w:t>care professionals, plus suppo</w:t>
      </w:r>
      <w:r w:rsidR="007E3D83" w:rsidRPr="00B708D3">
        <w:rPr>
          <w:rFonts w:ascii="Garamond" w:hAnsi="Garamond"/>
        </w:rPr>
        <w:t>rt staff.</w:t>
      </w:r>
      <w:r w:rsidRPr="00B708D3">
        <w:rPr>
          <w:rFonts w:ascii="Garamond" w:hAnsi="Garamond"/>
        </w:rPr>
        <w:t xml:space="preserve"> </w:t>
      </w:r>
      <w:r w:rsidR="009C4E59" w:rsidRPr="00B708D3">
        <w:rPr>
          <w:rFonts w:ascii="Garamond" w:hAnsi="Garamond"/>
        </w:rPr>
        <w:t xml:space="preserve"> </w:t>
      </w:r>
    </w:p>
    <w:p w:rsidR="00E33149" w:rsidRPr="00B708D3" w:rsidRDefault="00E33149" w:rsidP="00086064">
      <w:pPr>
        <w:rPr>
          <w:rFonts w:ascii="Garamond" w:hAnsi="Garamond"/>
        </w:rPr>
      </w:pPr>
    </w:p>
    <w:p w:rsidR="00106325" w:rsidRPr="00B708D3" w:rsidRDefault="0092470C" w:rsidP="00086064">
      <w:pPr>
        <w:rPr>
          <w:rFonts w:ascii="Garamond" w:hAnsi="Garamond"/>
        </w:rPr>
      </w:pPr>
      <w:r w:rsidRPr="00B708D3">
        <w:rPr>
          <w:rFonts w:ascii="Garamond" w:hAnsi="Garamond"/>
        </w:rPr>
        <w:t>HIT presents practitioners and patients with new information. It is this</w:t>
      </w:r>
      <w:r w:rsidR="00F0063C" w:rsidRPr="00B708D3">
        <w:rPr>
          <w:rFonts w:ascii="Garamond" w:hAnsi="Garamond"/>
        </w:rPr>
        <w:t xml:space="preserve"> new information</w:t>
      </w:r>
      <w:r w:rsidRPr="00B708D3">
        <w:rPr>
          <w:rFonts w:ascii="Garamond" w:hAnsi="Garamond"/>
        </w:rPr>
        <w:t xml:space="preserve"> that prompts the behaviour changes that lead to improved health outcomes. </w:t>
      </w:r>
      <w:r w:rsidR="007E3D83" w:rsidRPr="00B708D3">
        <w:rPr>
          <w:rFonts w:ascii="Garamond" w:hAnsi="Garamond"/>
        </w:rPr>
        <w:t xml:space="preserve">Table </w:t>
      </w:r>
      <w:r w:rsidR="00964DC6" w:rsidRPr="00B708D3">
        <w:rPr>
          <w:rFonts w:ascii="Garamond" w:hAnsi="Garamond"/>
        </w:rPr>
        <w:t>1</w:t>
      </w:r>
      <w:r w:rsidR="007E3D83" w:rsidRPr="00B708D3">
        <w:rPr>
          <w:rFonts w:ascii="Garamond" w:hAnsi="Garamond"/>
        </w:rPr>
        <w:t xml:space="preserve"> presents </w:t>
      </w:r>
      <w:r w:rsidR="009F2F9B" w:rsidRPr="00B708D3">
        <w:rPr>
          <w:rFonts w:ascii="Garamond" w:hAnsi="Garamond"/>
        </w:rPr>
        <w:t>a characterization of HIT (</w:t>
      </w:r>
      <w:r w:rsidR="00964DC6" w:rsidRPr="00B708D3">
        <w:rPr>
          <w:rFonts w:ascii="Garamond" w:hAnsi="Garamond"/>
        </w:rPr>
        <w:t xml:space="preserve">framed in terms of </w:t>
      </w:r>
      <w:r w:rsidR="009F2F9B" w:rsidRPr="00B708D3">
        <w:rPr>
          <w:rFonts w:ascii="Garamond" w:hAnsi="Garamond"/>
        </w:rPr>
        <w:t>electronic medical record</w:t>
      </w:r>
      <w:r w:rsidR="00A11C3B" w:rsidRPr="00B708D3">
        <w:rPr>
          <w:rFonts w:ascii="Garamond" w:hAnsi="Garamond"/>
        </w:rPr>
        <w:t>s</w:t>
      </w:r>
      <w:r w:rsidR="009F2F9B" w:rsidRPr="00B708D3">
        <w:rPr>
          <w:rFonts w:ascii="Garamond" w:hAnsi="Garamond"/>
        </w:rPr>
        <w:t>)</w:t>
      </w:r>
      <w:r w:rsidR="00964DC6" w:rsidRPr="00B708D3">
        <w:rPr>
          <w:rStyle w:val="FootnoteReference"/>
          <w:rFonts w:ascii="Garamond" w:hAnsi="Garamond"/>
        </w:rPr>
        <w:footnoteReference w:id="10"/>
      </w:r>
      <w:r w:rsidR="009F2F9B" w:rsidRPr="00B708D3">
        <w:rPr>
          <w:rFonts w:ascii="Garamond" w:hAnsi="Garamond"/>
        </w:rPr>
        <w:t xml:space="preserve"> that typifies </w:t>
      </w:r>
      <w:r w:rsidR="002D7225" w:rsidRPr="00B708D3">
        <w:rPr>
          <w:rFonts w:ascii="Garamond" w:hAnsi="Garamond"/>
        </w:rPr>
        <w:t xml:space="preserve">a </w:t>
      </w:r>
      <w:r w:rsidR="009F2F9B" w:rsidRPr="00B708D3">
        <w:rPr>
          <w:rFonts w:ascii="Garamond" w:hAnsi="Garamond"/>
        </w:rPr>
        <w:t>primary care setting.  The important step in the development of</w:t>
      </w:r>
      <w:r w:rsidR="00741293" w:rsidRPr="00B708D3">
        <w:rPr>
          <w:rFonts w:ascii="Garamond" w:hAnsi="Garamond"/>
        </w:rPr>
        <w:t xml:space="preserve"> a general evaluation strategy i</w:t>
      </w:r>
      <w:r w:rsidR="009F2F9B" w:rsidRPr="00B708D3">
        <w:rPr>
          <w:rFonts w:ascii="Garamond" w:hAnsi="Garamond"/>
        </w:rPr>
        <w:t xml:space="preserve">s to associate </w:t>
      </w:r>
      <w:r w:rsidR="00741293" w:rsidRPr="00B708D3">
        <w:rPr>
          <w:rFonts w:ascii="Garamond" w:hAnsi="Garamond"/>
        </w:rPr>
        <w:t xml:space="preserve">the </w:t>
      </w:r>
      <w:r w:rsidR="009F2F9B" w:rsidRPr="00B708D3">
        <w:rPr>
          <w:rFonts w:ascii="Garamond" w:hAnsi="Garamond"/>
        </w:rPr>
        <w:t xml:space="preserve">consequential </w:t>
      </w:r>
      <w:r w:rsidR="00125702" w:rsidRPr="00B708D3">
        <w:rPr>
          <w:rFonts w:ascii="Garamond" w:hAnsi="Garamond"/>
        </w:rPr>
        <w:t>information content</w:t>
      </w:r>
      <w:r w:rsidR="009F2F9B" w:rsidRPr="00B708D3">
        <w:rPr>
          <w:rFonts w:ascii="Garamond" w:hAnsi="Garamond"/>
        </w:rPr>
        <w:t xml:space="preserve"> </w:t>
      </w:r>
      <w:r w:rsidR="00741293" w:rsidRPr="00B708D3">
        <w:rPr>
          <w:rFonts w:ascii="Garamond" w:hAnsi="Garamond"/>
        </w:rPr>
        <w:t>that occur</w:t>
      </w:r>
      <w:r w:rsidR="00F0063C" w:rsidRPr="00B708D3">
        <w:rPr>
          <w:rFonts w:ascii="Garamond" w:hAnsi="Garamond"/>
        </w:rPr>
        <w:t>s</w:t>
      </w:r>
      <w:r w:rsidR="00125702" w:rsidRPr="00B708D3">
        <w:rPr>
          <w:rFonts w:ascii="Garamond" w:hAnsi="Garamond"/>
        </w:rPr>
        <w:t xml:space="preserve"> for each </w:t>
      </w:r>
      <w:r w:rsidR="009F2F9B" w:rsidRPr="00B708D3">
        <w:rPr>
          <w:rFonts w:ascii="Garamond" w:hAnsi="Garamond"/>
        </w:rPr>
        <w:t xml:space="preserve">attribute. </w:t>
      </w:r>
      <w:r w:rsidR="00741293" w:rsidRPr="00B708D3">
        <w:rPr>
          <w:rFonts w:ascii="Garamond" w:hAnsi="Garamond"/>
        </w:rPr>
        <w:t xml:space="preserve"> </w:t>
      </w:r>
      <w:r w:rsidR="00125702" w:rsidRPr="00B708D3">
        <w:rPr>
          <w:rFonts w:ascii="Garamond" w:hAnsi="Garamond"/>
        </w:rPr>
        <w:t>Associated with the increased information content is a behaviour change</w:t>
      </w:r>
      <w:r w:rsidR="00415B94" w:rsidRPr="00B708D3">
        <w:rPr>
          <w:rFonts w:ascii="Garamond" w:hAnsi="Garamond"/>
        </w:rPr>
        <w:t>.  U</w:t>
      </w:r>
      <w:r w:rsidR="00125702" w:rsidRPr="00B708D3">
        <w:rPr>
          <w:rFonts w:ascii="Garamond" w:hAnsi="Garamond"/>
        </w:rPr>
        <w:t xml:space="preserve">nder the assumption that the practitioner and patient </w:t>
      </w:r>
      <w:r w:rsidR="00415B94" w:rsidRPr="00B708D3">
        <w:rPr>
          <w:rFonts w:ascii="Garamond" w:hAnsi="Garamond"/>
        </w:rPr>
        <w:t xml:space="preserve">will </w:t>
      </w:r>
      <w:r w:rsidR="00125702" w:rsidRPr="00B708D3">
        <w:rPr>
          <w:rFonts w:ascii="Garamond" w:hAnsi="Garamond"/>
        </w:rPr>
        <w:t xml:space="preserve">act on the opportunities presented by the new </w:t>
      </w:r>
      <w:r w:rsidRPr="00B708D3">
        <w:rPr>
          <w:rFonts w:ascii="Garamond" w:hAnsi="Garamond"/>
        </w:rPr>
        <w:t>information</w:t>
      </w:r>
      <w:r w:rsidR="00415B94" w:rsidRPr="00B708D3">
        <w:rPr>
          <w:rFonts w:ascii="Garamond" w:hAnsi="Garamond"/>
        </w:rPr>
        <w:t>, improved health outcomes will emerge.</w:t>
      </w:r>
    </w:p>
    <w:p w:rsidR="00B708D3" w:rsidRDefault="00B708D3">
      <w:pPr>
        <w:spacing w:after="200" w:line="276" w:lineRule="auto"/>
        <w:rPr>
          <w:rFonts w:ascii="Garamond" w:hAnsi="Garamond"/>
        </w:rPr>
      </w:pPr>
      <w:r>
        <w:rPr>
          <w:rFonts w:ascii="Garamond" w:hAnsi="Garamond"/>
        </w:rPr>
        <w:br w:type="page"/>
      </w:r>
    </w:p>
    <w:p w:rsidR="004165DD" w:rsidRPr="00B708D3" w:rsidRDefault="004165DD" w:rsidP="00086064">
      <w:pPr>
        <w:rPr>
          <w:rFonts w:ascii="Garamond" w:hAnsi="Garamond"/>
        </w:rPr>
      </w:pPr>
    </w:p>
    <w:tbl>
      <w:tblPr>
        <w:tblpPr w:leftFromText="180" w:rightFromText="180" w:vertAnchor="text" w:horzAnchor="margin" w:tblpXSpec="center" w:tblpY="101"/>
        <w:tblW w:w="8838" w:type="dxa"/>
        <w:tblLayout w:type="fixed"/>
        <w:tblLook w:val="0000"/>
      </w:tblPr>
      <w:tblGrid>
        <w:gridCol w:w="378"/>
        <w:gridCol w:w="3960"/>
        <w:gridCol w:w="4500"/>
      </w:tblGrid>
      <w:tr w:rsidR="004165DD" w:rsidRPr="00B708D3" w:rsidTr="00F8614A">
        <w:trPr>
          <w:cantSplit/>
          <w:trHeight w:val="170"/>
          <w:tblHeader/>
        </w:trPr>
        <w:tc>
          <w:tcPr>
            <w:tcW w:w="8838" w:type="dxa"/>
            <w:gridSpan w:val="3"/>
            <w:tcBorders>
              <w:top w:val="single" w:sz="4" w:space="0" w:color="auto"/>
              <w:left w:val="single" w:sz="4" w:space="0" w:color="auto"/>
              <w:bottom w:val="single" w:sz="4" w:space="0" w:color="auto"/>
              <w:right w:val="single" w:sz="4" w:space="0" w:color="auto"/>
            </w:tcBorders>
            <w:vAlign w:val="center"/>
          </w:tcPr>
          <w:p w:rsidR="004165DD" w:rsidRPr="00B708D3" w:rsidRDefault="004165DD" w:rsidP="00125702">
            <w:pPr>
              <w:rPr>
                <w:rStyle w:val="SubtleEmphasis"/>
                <w:rFonts w:ascii="Arial" w:hAnsi="Arial" w:cs="Arial"/>
                <w:b/>
                <w:i w:val="0"/>
                <w:iCs w:val="0"/>
                <w:color w:val="auto"/>
                <w:sz w:val="20"/>
              </w:rPr>
            </w:pPr>
            <w:r w:rsidRPr="00B708D3">
              <w:rPr>
                <w:rFonts w:ascii="Arial" w:hAnsi="Arial" w:cs="Arial"/>
                <w:b/>
                <w:sz w:val="20"/>
                <w:szCs w:val="20"/>
              </w:rPr>
              <w:t xml:space="preserve">Table </w:t>
            </w:r>
            <w:r w:rsidR="00A96319" w:rsidRPr="00B708D3">
              <w:rPr>
                <w:rFonts w:ascii="Arial" w:hAnsi="Arial" w:cs="Arial"/>
                <w:b/>
                <w:sz w:val="20"/>
                <w:szCs w:val="20"/>
              </w:rPr>
              <w:fldChar w:fldCharType="begin"/>
            </w:r>
            <w:r w:rsidRPr="00B708D3">
              <w:rPr>
                <w:rFonts w:ascii="Arial" w:hAnsi="Arial" w:cs="Arial"/>
                <w:b/>
                <w:sz w:val="20"/>
                <w:szCs w:val="20"/>
              </w:rPr>
              <w:instrText xml:space="preserve"> SEQ Table \* ARABIC </w:instrText>
            </w:r>
            <w:r w:rsidR="00A96319" w:rsidRPr="00B708D3">
              <w:rPr>
                <w:rFonts w:ascii="Arial" w:hAnsi="Arial" w:cs="Arial"/>
                <w:b/>
                <w:sz w:val="20"/>
                <w:szCs w:val="20"/>
              </w:rPr>
              <w:fldChar w:fldCharType="separate"/>
            </w:r>
            <w:r w:rsidR="00830E9F" w:rsidRPr="00B708D3">
              <w:rPr>
                <w:rFonts w:ascii="Arial" w:hAnsi="Arial" w:cs="Arial"/>
                <w:b/>
                <w:noProof/>
                <w:sz w:val="20"/>
                <w:szCs w:val="20"/>
              </w:rPr>
              <w:t>1</w:t>
            </w:r>
            <w:r w:rsidR="00A96319" w:rsidRPr="00B708D3">
              <w:rPr>
                <w:rFonts w:ascii="Arial" w:hAnsi="Arial" w:cs="Arial"/>
                <w:b/>
                <w:sz w:val="20"/>
                <w:szCs w:val="20"/>
              </w:rPr>
              <w:fldChar w:fldCharType="end"/>
            </w:r>
            <w:r w:rsidRPr="00B708D3">
              <w:rPr>
                <w:rFonts w:ascii="Arial" w:hAnsi="Arial" w:cs="Arial"/>
                <w:b/>
                <w:sz w:val="20"/>
                <w:szCs w:val="20"/>
              </w:rPr>
              <w:t xml:space="preserve">: High-level EMR attributes and </w:t>
            </w:r>
            <w:r w:rsidR="00125702" w:rsidRPr="00B708D3">
              <w:rPr>
                <w:rFonts w:ascii="Arial" w:hAnsi="Arial" w:cs="Arial"/>
                <w:b/>
                <w:sz w:val="20"/>
                <w:szCs w:val="20"/>
              </w:rPr>
              <w:t>implied informational consequence</w:t>
            </w:r>
            <w:r w:rsidR="00A11C3B" w:rsidRPr="00B708D3">
              <w:rPr>
                <w:rFonts w:ascii="Arial" w:hAnsi="Arial" w:cs="Arial"/>
                <w:b/>
                <w:sz w:val="20"/>
                <w:szCs w:val="20"/>
              </w:rPr>
              <w:t>s</w:t>
            </w:r>
          </w:p>
        </w:tc>
      </w:tr>
      <w:tr w:rsidR="004165DD" w:rsidRPr="00B708D3" w:rsidTr="00F8614A">
        <w:trPr>
          <w:cantSplit/>
          <w:tblHeader/>
        </w:trPr>
        <w:tc>
          <w:tcPr>
            <w:tcW w:w="378" w:type="dxa"/>
            <w:tcBorders>
              <w:top w:val="single" w:sz="4" w:space="0" w:color="auto"/>
              <w:left w:val="single" w:sz="4" w:space="0" w:color="auto"/>
              <w:bottom w:val="single" w:sz="4" w:space="0" w:color="auto"/>
              <w:right w:val="single" w:sz="4" w:space="0" w:color="auto"/>
            </w:tcBorders>
            <w:vAlign w:val="center"/>
          </w:tcPr>
          <w:p w:rsidR="004165DD" w:rsidRPr="00B708D3" w:rsidRDefault="004165DD" w:rsidP="004B1EC2">
            <w:pPr>
              <w:jc w:val="center"/>
              <w:rPr>
                <w:rStyle w:val="SubtleEmphasis"/>
                <w:rFonts w:ascii="Arial" w:hAnsi="Arial" w:cs="Arial"/>
                <w:b/>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4165DD" w:rsidRPr="00B708D3" w:rsidRDefault="004165DD"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Attribute</w:t>
            </w:r>
          </w:p>
        </w:tc>
        <w:tc>
          <w:tcPr>
            <w:tcW w:w="4500" w:type="dxa"/>
            <w:tcBorders>
              <w:top w:val="single" w:sz="4" w:space="0" w:color="auto"/>
              <w:left w:val="single" w:sz="4" w:space="0" w:color="auto"/>
              <w:bottom w:val="single" w:sz="4" w:space="0" w:color="auto"/>
              <w:right w:val="single" w:sz="4" w:space="0" w:color="auto"/>
            </w:tcBorders>
            <w:vAlign w:val="center"/>
          </w:tcPr>
          <w:p w:rsidR="004165DD" w:rsidRPr="00B708D3" w:rsidRDefault="00125702" w:rsidP="00AA7544">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Information </w:t>
            </w:r>
            <w:r w:rsidR="00AF40F1" w:rsidRPr="00B708D3">
              <w:rPr>
                <w:rStyle w:val="SubtleEmphasis"/>
                <w:rFonts w:ascii="Arial" w:hAnsi="Arial" w:cs="Arial"/>
                <w:b/>
                <w:i w:val="0"/>
                <w:iCs w:val="0"/>
                <w:color w:val="auto"/>
                <w:sz w:val="20"/>
              </w:rPr>
              <w:t>c</w:t>
            </w:r>
            <w:r w:rsidR="00AA7544" w:rsidRPr="00B708D3">
              <w:rPr>
                <w:rStyle w:val="SubtleEmphasis"/>
                <w:rFonts w:ascii="Arial" w:hAnsi="Arial" w:cs="Arial"/>
                <w:b/>
                <w:i w:val="0"/>
                <w:iCs w:val="0"/>
                <w:color w:val="auto"/>
                <w:sz w:val="20"/>
              </w:rPr>
              <w:t>onsequence</w:t>
            </w: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A11C3B">
            <w:pPr>
              <w:pStyle w:val="ListParagraph"/>
              <w:ind w:left="-18"/>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Health information </w:t>
            </w:r>
            <w:r w:rsidRPr="00B708D3">
              <w:rPr>
                <w:rStyle w:val="SubtleEmphasis"/>
                <w:rFonts w:ascii="Arial" w:hAnsi="Arial" w:cs="Arial"/>
                <w:i w:val="0"/>
                <w:iCs w:val="0"/>
                <w:color w:val="auto"/>
                <w:sz w:val="16"/>
                <w:szCs w:val="16"/>
              </w:rPr>
              <w:t>(patient demographics, medical/surgical history, allergies)</w:t>
            </w:r>
          </w:p>
        </w:tc>
        <w:tc>
          <w:tcPr>
            <w:tcW w:w="4500"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w:t>
            </w:r>
            <w:r w:rsidR="0092470C" w:rsidRPr="00B708D3">
              <w:rPr>
                <w:rStyle w:val="SubtleEmphasis"/>
                <w:rFonts w:ascii="Arial" w:hAnsi="Arial" w:cs="Arial"/>
                <w:i w:val="0"/>
                <w:iCs w:val="0"/>
                <w:color w:val="auto"/>
                <w:sz w:val="16"/>
                <w:szCs w:val="16"/>
              </w:rPr>
              <w:t>in</w:t>
            </w:r>
            <w:r w:rsidR="00AA7544" w:rsidRPr="00B708D3">
              <w:rPr>
                <w:rStyle w:val="SubtleEmphasis"/>
                <w:rFonts w:ascii="Arial" w:hAnsi="Arial" w:cs="Arial"/>
                <w:i w:val="0"/>
                <w:iCs w:val="0"/>
                <w:color w:val="auto"/>
                <w:sz w:val="16"/>
                <w:szCs w:val="16"/>
              </w:rPr>
              <w:t>formation on patient attributes (family history, current health status</w:t>
            </w:r>
            <w:r w:rsidR="0032488F" w:rsidRPr="00B708D3">
              <w:rPr>
                <w:rStyle w:val="SubtleEmphasis"/>
                <w:rFonts w:ascii="Arial" w:hAnsi="Arial" w:cs="Arial"/>
                <w:i w:val="0"/>
                <w:iCs w:val="0"/>
                <w:color w:val="auto"/>
                <w:sz w:val="16"/>
                <w:szCs w:val="16"/>
              </w:rPr>
              <w:t>,</w:t>
            </w:r>
            <w:r w:rsidR="00AA7544" w:rsidRPr="00B708D3">
              <w:rPr>
                <w:rStyle w:val="SubtleEmphasis"/>
                <w:rFonts w:ascii="Arial" w:hAnsi="Arial" w:cs="Arial"/>
                <w:i w:val="0"/>
                <w:iCs w:val="0"/>
                <w:color w:val="auto"/>
                <w:sz w:val="16"/>
                <w:szCs w:val="16"/>
              </w:rPr>
              <w:t xml:space="preserve"> lifestyle choices…)</w:t>
            </w:r>
          </w:p>
          <w:p w:rsidR="004165DD" w:rsidRPr="00B708D3" w:rsidRDefault="0092470C"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recall errors</w:t>
            </w:r>
            <w:r w:rsidR="000A6573" w:rsidRPr="00B708D3">
              <w:rPr>
                <w:rStyle w:val="SubtleEmphasis"/>
                <w:rFonts w:ascii="Arial" w:hAnsi="Arial" w:cs="Arial"/>
                <w:i w:val="0"/>
                <w:iCs w:val="0"/>
                <w:color w:val="auto"/>
                <w:sz w:val="16"/>
                <w:szCs w:val="16"/>
              </w:rPr>
              <w:t xml:space="preserve"> (increased accuracy of patient attributes)</w:t>
            </w:r>
          </w:p>
          <w:p w:rsidR="004165DD" w:rsidRPr="00B708D3" w:rsidRDefault="0092470C"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Reduced variability </w:t>
            </w:r>
            <w:r w:rsidR="004165DD" w:rsidRPr="00B708D3">
              <w:rPr>
                <w:rStyle w:val="SubtleEmphasis"/>
                <w:rFonts w:ascii="Arial" w:hAnsi="Arial" w:cs="Arial"/>
                <w:i w:val="0"/>
                <w:iCs w:val="0"/>
                <w:color w:val="auto"/>
                <w:sz w:val="16"/>
                <w:szCs w:val="16"/>
              </w:rPr>
              <w:t>and comprehensi</w:t>
            </w:r>
            <w:r w:rsidR="00AA7544" w:rsidRPr="00B708D3">
              <w:rPr>
                <w:rStyle w:val="SubtleEmphasis"/>
                <w:rFonts w:ascii="Arial" w:hAnsi="Arial" w:cs="Arial"/>
                <w:i w:val="0"/>
                <w:iCs w:val="0"/>
                <w:color w:val="auto"/>
                <w:sz w:val="16"/>
                <w:szCs w:val="16"/>
              </w:rPr>
              <w:t>veness of patient data</w:t>
            </w:r>
            <w:r w:rsidR="004165DD" w:rsidRPr="00B708D3">
              <w:rPr>
                <w:rStyle w:val="SubtleEmphasis"/>
                <w:rFonts w:ascii="Arial" w:hAnsi="Arial" w:cs="Arial"/>
                <w:i w:val="0"/>
                <w:iCs w:val="0"/>
                <w:color w:val="auto"/>
                <w:sz w:val="16"/>
                <w:szCs w:val="16"/>
              </w:rPr>
              <w:t xml:space="preserve"> </w:t>
            </w:r>
          </w:p>
          <w:p w:rsidR="004165DD" w:rsidRPr="00B708D3" w:rsidRDefault="004165DD" w:rsidP="0092470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w:t>
            </w:r>
            <w:r w:rsidR="0092470C" w:rsidRPr="00B708D3">
              <w:rPr>
                <w:rStyle w:val="SubtleEmphasis"/>
                <w:rFonts w:ascii="Arial" w:hAnsi="Arial" w:cs="Arial"/>
                <w:i w:val="0"/>
                <w:iCs w:val="0"/>
                <w:color w:val="auto"/>
                <w:sz w:val="16"/>
                <w:szCs w:val="16"/>
              </w:rPr>
              <w:t xml:space="preserve">information on patient risk factors (behavioural, genetic…) </w:t>
            </w: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805962">
            <w:pPr>
              <w:pStyle w:val="ListParagraph"/>
              <w:ind w:left="-18"/>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Lab management </w:t>
            </w:r>
            <w:r w:rsidRPr="00B708D3">
              <w:rPr>
                <w:rStyle w:val="SubtleEmphasis"/>
                <w:rFonts w:ascii="Arial" w:hAnsi="Arial" w:cs="Arial"/>
                <w:i w:val="0"/>
                <w:iCs w:val="0"/>
                <w:color w:val="auto"/>
                <w:sz w:val="16"/>
                <w:szCs w:val="16"/>
              </w:rPr>
              <w:t>(ordering tests/diagnostic images, receiving results, reviewing results)</w:t>
            </w:r>
          </w:p>
        </w:tc>
        <w:tc>
          <w:tcPr>
            <w:tcW w:w="4500"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Reduced time for </w:t>
            </w:r>
            <w:r w:rsidR="0092470C" w:rsidRPr="00B708D3">
              <w:rPr>
                <w:rStyle w:val="SubtleEmphasis"/>
                <w:rFonts w:ascii="Arial" w:hAnsi="Arial" w:cs="Arial"/>
                <w:i w:val="0"/>
                <w:iCs w:val="0"/>
                <w:color w:val="auto"/>
                <w:sz w:val="16"/>
                <w:szCs w:val="16"/>
              </w:rPr>
              <w:t>information retrieval (</w:t>
            </w:r>
            <w:r w:rsidRPr="00B708D3">
              <w:rPr>
                <w:rStyle w:val="SubtleEmphasis"/>
                <w:rFonts w:ascii="Arial" w:hAnsi="Arial" w:cs="Arial"/>
                <w:i w:val="0"/>
                <w:iCs w:val="0"/>
                <w:color w:val="auto"/>
                <w:sz w:val="16"/>
                <w:szCs w:val="16"/>
              </w:rPr>
              <w:t>results</w:t>
            </w:r>
            <w:r w:rsidR="0092470C" w:rsidRPr="00B708D3">
              <w:rPr>
                <w:rStyle w:val="SubtleEmphasis"/>
                <w:rFonts w:ascii="Arial" w:hAnsi="Arial" w:cs="Arial"/>
                <w:i w:val="0"/>
                <w:iCs w:val="0"/>
                <w:color w:val="auto"/>
                <w:sz w:val="16"/>
                <w:szCs w:val="16"/>
              </w:rPr>
              <w:t>)</w:t>
            </w:r>
          </w:p>
          <w:p w:rsidR="00AA7544" w:rsidRPr="00B708D3" w:rsidRDefault="00AA7544"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range of tests</w:t>
            </w:r>
          </w:p>
          <w:p w:rsidR="004165DD" w:rsidRPr="00B708D3" w:rsidRDefault="00AA7544" w:rsidP="00E53EA5">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Te</w:t>
            </w:r>
            <w:r w:rsidR="00E53EA5" w:rsidRPr="00B708D3">
              <w:rPr>
                <w:rStyle w:val="SubtleEmphasis"/>
                <w:rFonts w:ascii="Arial" w:hAnsi="Arial" w:cs="Arial"/>
                <w:i w:val="0"/>
                <w:iCs w:val="0"/>
                <w:color w:val="auto"/>
                <w:sz w:val="16"/>
                <w:szCs w:val="16"/>
              </w:rPr>
              <w:t xml:space="preserve">st </w:t>
            </w:r>
            <w:r w:rsidRPr="00B708D3">
              <w:rPr>
                <w:rStyle w:val="SubtleEmphasis"/>
                <w:rFonts w:ascii="Arial" w:hAnsi="Arial" w:cs="Arial"/>
                <w:i w:val="0"/>
                <w:iCs w:val="0"/>
                <w:color w:val="auto"/>
                <w:sz w:val="16"/>
                <w:szCs w:val="16"/>
              </w:rPr>
              <w:t>out o</w:t>
            </w:r>
            <w:r w:rsidR="00A11C3B" w:rsidRPr="00B708D3">
              <w:rPr>
                <w:rStyle w:val="SubtleEmphasis"/>
                <w:rFonts w:ascii="Arial" w:hAnsi="Arial" w:cs="Arial"/>
                <w:i w:val="0"/>
                <w:iCs w:val="0"/>
                <w:color w:val="auto"/>
                <w:sz w:val="16"/>
                <w:szCs w:val="16"/>
              </w:rPr>
              <w:t>f</w:t>
            </w:r>
            <w:r w:rsidRPr="00B708D3">
              <w:rPr>
                <w:rStyle w:val="SubtleEmphasis"/>
                <w:rFonts w:ascii="Arial" w:hAnsi="Arial" w:cs="Arial"/>
                <w:i w:val="0"/>
                <w:iCs w:val="0"/>
                <w:color w:val="auto"/>
                <w:sz w:val="16"/>
                <w:szCs w:val="16"/>
              </w:rPr>
              <w:t xml:space="preserve"> range values</w:t>
            </w: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805962">
            <w:pPr>
              <w:pStyle w:val="ListParagraph"/>
              <w:ind w:left="-18"/>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Pharmaceutical management </w:t>
            </w:r>
            <w:r w:rsidRPr="00B708D3">
              <w:rPr>
                <w:rStyle w:val="SubtleEmphasis"/>
                <w:rFonts w:ascii="Arial" w:hAnsi="Arial" w:cs="Arial"/>
                <w:i w:val="0"/>
                <w:iCs w:val="0"/>
                <w:color w:val="auto"/>
                <w:sz w:val="16"/>
                <w:szCs w:val="16"/>
              </w:rPr>
              <w:t>(prescribing, renewals, interaction assessment, cost control)</w:t>
            </w:r>
          </w:p>
        </w:tc>
        <w:tc>
          <w:tcPr>
            <w:tcW w:w="4500"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in renewal management</w:t>
            </w:r>
          </w:p>
          <w:p w:rsidR="0092470C" w:rsidRPr="00B708D3" w:rsidRDefault="004165DD" w:rsidP="0092470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w:t>
            </w:r>
            <w:r w:rsidR="0092470C" w:rsidRPr="00B708D3">
              <w:rPr>
                <w:rStyle w:val="SubtleEmphasis"/>
                <w:rFonts w:ascii="Arial" w:hAnsi="Arial" w:cs="Arial"/>
                <w:i w:val="0"/>
                <w:iCs w:val="0"/>
                <w:color w:val="auto"/>
                <w:sz w:val="16"/>
                <w:szCs w:val="16"/>
              </w:rPr>
              <w:t xml:space="preserve">information </w:t>
            </w:r>
            <w:r w:rsidR="00E53EA5" w:rsidRPr="00B708D3">
              <w:rPr>
                <w:rStyle w:val="SubtleEmphasis"/>
                <w:rFonts w:ascii="Arial" w:hAnsi="Arial" w:cs="Arial"/>
                <w:i w:val="0"/>
                <w:iCs w:val="0"/>
                <w:color w:val="auto"/>
                <w:sz w:val="16"/>
                <w:szCs w:val="16"/>
              </w:rPr>
              <w:t xml:space="preserve">for </w:t>
            </w:r>
            <w:r w:rsidR="0092470C" w:rsidRPr="00B708D3">
              <w:rPr>
                <w:rStyle w:val="SubtleEmphasis"/>
                <w:rFonts w:ascii="Arial" w:hAnsi="Arial" w:cs="Arial"/>
                <w:i w:val="0"/>
                <w:iCs w:val="0"/>
                <w:color w:val="auto"/>
                <w:sz w:val="16"/>
                <w:szCs w:val="16"/>
              </w:rPr>
              <w:t xml:space="preserve">treatment selection </w:t>
            </w:r>
          </w:p>
          <w:p w:rsidR="0092470C" w:rsidRPr="00B708D3" w:rsidRDefault="0092470C"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 in signals for contraindication </w:t>
            </w:r>
          </w:p>
          <w:p w:rsidR="004165DD" w:rsidRPr="00B708D3" w:rsidRDefault="0092470C" w:rsidP="00AA7544">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w:t>
            </w:r>
            <w:r w:rsidR="00AA7544" w:rsidRPr="00B708D3">
              <w:rPr>
                <w:rStyle w:val="SubtleEmphasis"/>
                <w:rFonts w:ascii="Arial" w:hAnsi="Arial" w:cs="Arial"/>
                <w:i w:val="0"/>
                <w:iCs w:val="0"/>
                <w:color w:val="auto"/>
                <w:sz w:val="16"/>
                <w:szCs w:val="16"/>
              </w:rPr>
              <w:t xml:space="preserve"> cost data on </w:t>
            </w:r>
            <w:r w:rsidRPr="00B708D3">
              <w:rPr>
                <w:rStyle w:val="SubtleEmphasis"/>
                <w:rFonts w:ascii="Arial" w:hAnsi="Arial" w:cs="Arial"/>
                <w:i w:val="0"/>
                <w:iCs w:val="0"/>
                <w:color w:val="auto"/>
                <w:sz w:val="16"/>
                <w:szCs w:val="16"/>
              </w:rPr>
              <w:t>alternatives</w:t>
            </w: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805962">
            <w:pPr>
              <w:pStyle w:val="ListParagraph"/>
              <w:ind w:left="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20"/>
              </w:rPr>
              <w:t xml:space="preserve">Decision support </w:t>
            </w:r>
            <w:r w:rsidRPr="00B708D3">
              <w:rPr>
                <w:rStyle w:val="SubtleEmphasis"/>
                <w:rFonts w:ascii="Arial" w:hAnsi="Arial" w:cs="Arial"/>
                <w:i w:val="0"/>
                <w:iCs w:val="0"/>
                <w:color w:val="auto"/>
                <w:sz w:val="16"/>
                <w:szCs w:val="16"/>
              </w:rPr>
              <w:t>(screening, chronic care testing</w:t>
            </w:r>
            <w:r w:rsidR="00A11C3B" w:rsidRPr="00B708D3">
              <w:rPr>
                <w:rStyle w:val="SubtleEmphasis"/>
                <w:rFonts w:ascii="Arial" w:hAnsi="Arial" w:cs="Arial"/>
                <w:i w:val="0"/>
                <w:iCs w:val="0"/>
                <w:color w:val="auto"/>
                <w:sz w:val="16"/>
                <w:szCs w:val="16"/>
              </w:rPr>
              <w:t xml:space="preserve"> and</w:t>
            </w:r>
            <w:r w:rsidRPr="00B708D3">
              <w:rPr>
                <w:rStyle w:val="SubtleEmphasis"/>
                <w:rFonts w:ascii="Arial" w:hAnsi="Arial" w:cs="Arial"/>
                <w:i w:val="0"/>
                <w:iCs w:val="0"/>
                <w:color w:val="auto"/>
                <w:sz w:val="16"/>
                <w:szCs w:val="16"/>
              </w:rPr>
              <w:t xml:space="preserve"> monitoring, medical care management across classes of patients [see also  Practice management])</w:t>
            </w:r>
          </w:p>
        </w:tc>
        <w:tc>
          <w:tcPr>
            <w:tcW w:w="4500" w:type="dxa"/>
            <w:tcBorders>
              <w:top w:val="single" w:sz="4" w:space="0" w:color="auto"/>
              <w:left w:val="single" w:sz="4" w:space="0" w:color="auto"/>
              <w:bottom w:val="single" w:sz="4" w:space="0" w:color="auto"/>
              <w:right w:val="single" w:sz="4" w:space="0" w:color="auto"/>
            </w:tcBorders>
          </w:tcPr>
          <w:p w:rsidR="004165DD" w:rsidRPr="00B708D3" w:rsidRDefault="009C4E59"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w:t>
            </w:r>
            <w:r w:rsidR="0092470C" w:rsidRPr="00B708D3">
              <w:rPr>
                <w:rStyle w:val="SubtleEmphasis"/>
                <w:rFonts w:ascii="Arial" w:hAnsi="Arial" w:cs="Arial"/>
                <w:i w:val="0"/>
                <w:iCs w:val="0"/>
                <w:color w:val="auto"/>
                <w:sz w:val="16"/>
                <w:szCs w:val="16"/>
              </w:rPr>
              <w:t xml:space="preserve"> information to identify risk factors in patients</w:t>
            </w:r>
            <w:r w:rsidRPr="00B708D3">
              <w:rPr>
                <w:rStyle w:val="SubtleEmphasis"/>
                <w:rFonts w:ascii="Arial" w:hAnsi="Arial" w:cs="Arial"/>
                <w:i w:val="0"/>
                <w:iCs w:val="0"/>
                <w:color w:val="auto"/>
                <w:sz w:val="16"/>
                <w:szCs w:val="16"/>
              </w:rPr>
              <w:t xml:space="preserve"> </w:t>
            </w:r>
          </w:p>
          <w:p w:rsidR="009C4E59" w:rsidRPr="00B708D3" w:rsidRDefault="009C4E59"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monitoring of compliance (renewal monitoring)</w:t>
            </w:r>
          </w:p>
          <w:p w:rsidR="00AA7544" w:rsidRPr="00B708D3" w:rsidRDefault="00AA7544" w:rsidP="00AA7544">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Algorithmic diagnoses (test results interpreted in the context of patient history)</w:t>
            </w: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805962">
            <w:pPr>
              <w:pStyle w:val="ListParagraph"/>
              <w:ind w:left="0"/>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Patient engagement </w:t>
            </w:r>
            <w:r w:rsidRPr="00B708D3">
              <w:rPr>
                <w:rStyle w:val="SubtleEmphasis"/>
                <w:rFonts w:ascii="Arial" w:hAnsi="Arial" w:cs="Arial"/>
                <w:i w:val="0"/>
                <w:iCs w:val="0"/>
                <w:color w:val="auto"/>
                <w:sz w:val="16"/>
                <w:szCs w:val="16"/>
              </w:rPr>
              <w:t>(education, motivation, information sharing)</w:t>
            </w:r>
          </w:p>
        </w:tc>
        <w:tc>
          <w:tcPr>
            <w:tcW w:w="4500" w:type="dxa"/>
            <w:tcBorders>
              <w:top w:val="single" w:sz="4" w:space="0" w:color="auto"/>
              <w:left w:val="single" w:sz="4" w:space="0" w:color="auto"/>
              <w:bottom w:val="single" w:sz="4" w:space="0" w:color="auto"/>
              <w:right w:val="single" w:sz="4" w:space="0" w:color="auto"/>
            </w:tcBorders>
          </w:tcPr>
          <w:p w:rsidR="004165DD" w:rsidRPr="00B708D3" w:rsidRDefault="009C4E59"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patient comprehension of condition and </w:t>
            </w:r>
            <w:r w:rsidR="0092470C" w:rsidRPr="00B708D3">
              <w:rPr>
                <w:rStyle w:val="SubtleEmphasis"/>
                <w:rFonts w:ascii="Arial" w:hAnsi="Arial" w:cs="Arial"/>
                <w:i w:val="0"/>
                <w:iCs w:val="0"/>
                <w:color w:val="auto"/>
                <w:sz w:val="16"/>
                <w:szCs w:val="16"/>
              </w:rPr>
              <w:t>treatment strategy</w:t>
            </w:r>
          </w:p>
          <w:p w:rsidR="009C4E59" w:rsidRPr="00B708D3" w:rsidRDefault="009C4E59" w:rsidP="00A11C3B">
            <w:pPr>
              <w:pStyle w:val="ListParagraph"/>
              <w:ind w:left="342"/>
              <w:rPr>
                <w:rStyle w:val="SubtleEmphasis"/>
                <w:rFonts w:ascii="Arial" w:hAnsi="Arial" w:cs="Arial"/>
                <w:i w:val="0"/>
                <w:iCs w:val="0"/>
                <w:color w:val="auto"/>
                <w:sz w:val="16"/>
                <w:szCs w:val="16"/>
              </w:rPr>
            </w:pPr>
          </w:p>
        </w:tc>
      </w:tr>
      <w:tr w:rsidR="004165DD" w:rsidRPr="00B708D3" w:rsidTr="00F8614A">
        <w:tc>
          <w:tcPr>
            <w:tcW w:w="378" w:type="dxa"/>
            <w:tcBorders>
              <w:top w:val="single" w:sz="4" w:space="0" w:color="auto"/>
              <w:left w:val="single" w:sz="4" w:space="0" w:color="auto"/>
              <w:bottom w:val="single" w:sz="4" w:space="0" w:color="auto"/>
              <w:right w:val="single" w:sz="4" w:space="0" w:color="auto"/>
            </w:tcBorders>
          </w:tcPr>
          <w:p w:rsidR="004165DD" w:rsidRPr="00B708D3" w:rsidRDefault="004165DD" w:rsidP="004B1EC2">
            <w:pPr>
              <w:pStyle w:val="ListParagraph"/>
              <w:numPr>
                <w:ilvl w:val="0"/>
                <w:numId w:val="7"/>
              </w:numPr>
              <w:ind w:left="180" w:hanging="180"/>
              <w:rPr>
                <w:rStyle w:val="SubtleEmphasis"/>
                <w:rFonts w:ascii="Arial" w:hAnsi="Arial" w:cs="Arial"/>
                <w:i w:val="0"/>
                <w:iCs w:val="0"/>
                <w:color w:val="auto"/>
                <w:sz w:val="20"/>
              </w:rPr>
            </w:pPr>
          </w:p>
        </w:tc>
        <w:tc>
          <w:tcPr>
            <w:tcW w:w="3960" w:type="dxa"/>
            <w:tcBorders>
              <w:top w:val="single" w:sz="4" w:space="0" w:color="auto"/>
              <w:left w:val="single" w:sz="4" w:space="0" w:color="auto"/>
              <w:bottom w:val="single" w:sz="4" w:space="0" w:color="auto"/>
              <w:right w:val="single" w:sz="4" w:space="0" w:color="auto"/>
            </w:tcBorders>
          </w:tcPr>
          <w:p w:rsidR="004165DD" w:rsidRPr="00B708D3" w:rsidRDefault="004165DD" w:rsidP="00805962">
            <w:pPr>
              <w:pStyle w:val="ListParagraph"/>
              <w:ind w:left="0"/>
              <w:rPr>
                <w:rStyle w:val="SubtleEmphasis"/>
                <w:rFonts w:ascii="Arial" w:hAnsi="Arial" w:cs="Arial"/>
                <w:i w:val="0"/>
                <w:iCs w:val="0"/>
                <w:color w:val="auto"/>
                <w:sz w:val="20"/>
              </w:rPr>
            </w:pPr>
            <w:r w:rsidRPr="00B708D3">
              <w:rPr>
                <w:rStyle w:val="SubtleEmphasis"/>
                <w:rFonts w:ascii="Arial" w:hAnsi="Arial" w:cs="Arial"/>
                <w:i w:val="0"/>
                <w:iCs w:val="0"/>
                <w:color w:val="auto"/>
                <w:sz w:val="20"/>
              </w:rPr>
              <w:t>Administration</w:t>
            </w:r>
            <w:r w:rsidRPr="00B708D3">
              <w:rPr>
                <w:rStyle w:val="SubtleEmphasis"/>
                <w:rFonts w:ascii="Arial" w:hAnsi="Arial" w:cs="Arial"/>
                <w:i w:val="0"/>
                <w:iCs w:val="0"/>
                <w:color w:val="auto"/>
                <w:sz w:val="16"/>
                <w:szCs w:val="16"/>
              </w:rPr>
              <w:t xml:space="preserve"> </w:t>
            </w:r>
            <w:r w:rsidR="0032488F" w:rsidRPr="00B708D3">
              <w:rPr>
                <w:rStyle w:val="SubtleEmphasis"/>
                <w:rFonts w:ascii="Arial" w:hAnsi="Arial" w:cs="Arial"/>
                <w:i w:val="0"/>
                <w:iCs w:val="0"/>
                <w:color w:val="auto"/>
                <w:sz w:val="20"/>
              </w:rPr>
              <w:t>p</w:t>
            </w:r>
            <w:r w:rsidR="00750191" w:rsidRPr="00B708D3">
              <w:rPr>
                <w:rStyle w:val="SubtleEmphasis"/>
                <w:rFonts w:ascii="Arial" w:hAnsi="Arial" w:cs="Arial"/>
                <w:i w:val="0"/>
                <w:iCs w:val="0"/>
                <w:color w:val="auto"/>
                <w:sz w:val="20"/>
              </w:rPr>
              <w:t xml:space="preserve">ractice management </w:t>
            </w:r>
            <w:r w:rsidRPr="00B708D3">
              <w:rPr>
                <w:rStyle w:val="SubtleEmphasis"/>
                <w:rFonts w:ascii="Arial" w:hAnsi="Arial" w:cs="Arial"/>
                <w:i w:val="0"/>
                <w:iCs w:val="0"/>
                <w:color w:val="auto"/>
                <w:sz w:val="16"/>
                <w:szCs w:val="16"/>
              </w:rPr>
              <w:t>(scheduling, billing, data management</w:t>
            </w:r>
            <w:r w:rsidR="0032488F" w:rsidRPr="00B708D3">
              <w:rPr>
                <w:rStyle w:val="SubtleEmphasis"/>
                <w:rFonts w:ascii="Arial" w:hAnsi="Arial" w:cs="Arial"/>
                <w:i w:val="0"/>
                <w:iCs w:val="0"/>
                <w:color w:val="auto"/>
                <w:sz w:val="16"/>
                <w:szCs w:val="16"/>
              </w:rPr>
              <w:t>,</w:t>
            </w:r>
            <w:r w:rsidR="00750191" w:rsidRPr="00B708D3">
              <w:rPr>
                <w:rStyle w:val="SubtleEmphasis"/>
                <w:rFonts w:ascii="Arial" w:hAnsi="Arial" w:cs="Arial"/>
                <w:i w:val="0"/>
                <w:iCs w:val="0"/>
                <w:color w:val="auto"/>
                <w:sz w:val="16"/>
                <w:szCs w:val="16"/>
              </w:rPr>
              <w:t xml:space="preserve"> evaluation of individual and team performance, use of collected data for research into practice)</w:t>
            </w:r>
          </w:p>
        </w:tc>
        <w:tc>
          <w:tcPr>
            <w:tcW w:w="4500" w:type="dxa"/>
            <w:tcBorders>
              <w:top w:val="single" w:sz="4" w:space="0" w:color="auto"/>
              <w:left w:val="single" w:sz="4" w:space="0" w:color="auto"/>
              <w:bottom w:val="single" w:sz="4" w:space="0" w:color="auto"/>
              <w:right w:val="single" w:sz="4" w:space="0" w:color="auto"/>
            </w:tcBorders>
          </w:tcPr>
          <w:p w:rsidR="0092470C" w:rsidRPr="00B708D3" w:rsidRDefault="0092470C"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on scheduling</w:t>
            </w:r>
            <w:r w:rsidR="00AA7544" w:rsidRPr="00B708D3">
              <w:rPr>
                <w:rStyle w:val="SubtleEmphasis"/>
                <w:rFonts w:ascii="Arial" w:hAnsi="Arial" w:cs="Arial"/>
                <w:i w:val="0"/>
                <w:iCs w:val="0"/>
                <w:color w:val="auto"/>
                <w:sz w:val="16"/>
                <w:szCs w:val="16"/>
              </w:rPr>
              <w:t xml:space="preserve"> options</w:t>
            </w:r>
          </w:p>
          <w:p w:rsidR="00750191" w:rsidRPr="00B708D3" w:rsidRDefault="0092470C" w:rsidP="00750191">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for invoicing, resource management, HR management</w:t>
            </w:r>
            <w:r w:rsidR="00750191" w:rsidRPr="00B708D3">
              <w:rPr>
                <w:rStyle w:val="SubtleEmphasis"/>
                <w:rFonts w:ascii="Arial" w:hAnsi="Arial" w:cs="Arial"/>
                <w:i w:val="0"/>
                <w:iCs w:val="0"/>
                <w:color w:val="auto"/>
                <w:sz w:val="16"/>
                <w:szCs w:val="16"/>
              </w:rPr>
              <w:t xml:space="preserve"> </w:t>
            </w:r>
          </w:p>
          <w:p w:rsidR="00750191" w:rsidRPr="00B708D3" w:rsidRDefault="00750191" w:rsidP="00750191">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data on staff productivity</w:t>
            </w:r>
          </w:p>
          <w:p w:rsidR="00750191" w:rsidRPr="00B708D3" w:rsidRDefault="00750191" w:rsidP="00750191">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Use of data to increase understanding of treatment effectiveness</w:t>
            </w:r>
          </w:p>
          <w:p w:rsidR="009C4E59" w:rsidRPr="00B708D3" w:rsidRDefault="00750191" w:rsidP="00750191">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Data on adverse outcomes</w:t>
            </w:r>
          </w:p>
        </w:tc>
      </w:tr>
      <w:tr w:rsidR="004165DD" w:rsidRPr="00C24A77" w:rsidTr="00F8614A">
        <w:tc>
          <w:tcPr>
            <w:tcW w:w="8838" w:type="dxa"/>
            <w:gridSpan w:val="3"/>
            <w:tcBorders>
              <w:top w:val="single" w:sz="4" w:space="0" w:color="auto"/>
              <w:left w:val="single" w:sz="4" w:space="0" w:color="auto"/>
              <w:bottom w:val="single" w:sz="4" w:space="0" w:color="auto"/>
              <w:right w:val="single" w:sz="4" w:space="0" w:color="auto"/>
            </w:tcBorders>
          </w:tcPr>
          <w:p w:rsidR="004165DD" w:rsidRPr="003600F4" w:rsidRDefault="004165DD"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Adapted from Price and Lau (2011)</w:t>
            </w:r>
          </w:p>
        </w:tc>
      </w:tr>
    </w:tbl>
    <w:p w:rsidR="004165DD" w:rsidRDefault="004165DD" w:rsidP="00086064">
      <w:pPr>
        <w:rPr>
          <w:rFonts w:ascii="Garamond" w:hAnsi="Garamond"/>
        </w:rPr>
      </w:pPr>
    </w:p>
    <w:p w:rsidR="004165DD" w:rsidRDefault="004165DD" w:rsidP="00086064">
      <w:pPr>
        <w:rPr>
          <w:rFonts w:ascii="Garamond" w:hAnsi="Garamond"/>
        </w:rPr>
      </w:pPr>
    </w:p>
    <w:p w:rsidR="00576593" w:rsidRPr="00B708D3" w:rsidRDefault="00125702" w:rsidP="00086064">
      <w:pPr>
        <w:rPr>
          <w:rFonts w:ascii="Garamond" w:hAnsi="Garamond"/>
        </w:rPr>
      </w:pPr>
      <w:r w:rsidRPr="00B708D3">
        <w:rPr>
          <w:rFonts w:ascii="Garamond" w:hAnsi="Garamond"/>
        </w:rPr>
        <w:t>C</w:t>
      </w:r>
      <w:r w:rsidR="00086064" w:rsidRPr="00B708D3">
        <w:rPr>
          <w:rFonts w:ascii="Garamond" w:hAnsi="Garamond"/>
        </w:rPr>
        <w:t>onsider Attribute 1 (Health Information) comprising tombstone data (age, gender, family history, surgical/condition histories, and other immutable patient characteristics such as genetic testing results information).  The full implementation of this attribute requires patient recall, willingness to share history, and the recovery of information from prior interactions with the health</w:t>
      </w:r>
      <w:r w:rsidR="004B1EC2" w:rsidRPr="00B708D3">
        <w:rPr>
          <w:rFonts w:ascii="Garamond" w:hAnsi="Garamond"/>
        </w:rPr>
        <w:t xml:space="preserve"> </w:t>
      </w:r>
      <w:r w:rsidR="00086064" w:rsidRPr="00B708D3">
        <w:rPr>
          <w:rFonts w:ascii="Garamond" w:hAnsi="Garamond"/>
        </w:rPr>
        <w:t>care system. In some cases, patients will not be able to supply full information, such as in cases where adoptees have no knowledge of parental conditions.</w:t>
      </w:r>
      <w:r w:rsidR="00415B94" w:rsidRPr="00B708D3">
        <w:rPr>
          <w:rFonts w:ascii="Garamond" w:hAnsi="Garamond"/>
        </w:rPr>
        <w:t xml:space="preserve"> However</w:t>
      </w:r>
      <w:r w:rsidR="00AF40F1" w:rsidRPr="00B708D3">
        <w:rPr>
          <w:rFonts w:ascii="Garamond" w:hAnsi="Garamond"/>
        </w:rPr>
        <w:t>,</w:t>
      </w:r>
      <w:r w:rsidR="00415B94" w:rsidRPr="00B708D3">
        <w:rPr>
          <w:rFonts w:ascii="Garamond" w:hAnsi="Garamond"/>
        </w:rPr>
        <w:t xml:space="preserve"> the informational consequence of this attribute being fully implemented is a range of additional data </w:t>
      </w:r>
      <w:r w:rsidR="002D7225" w:rsidRPr="00B708D3">
        <w:rPr>
          <w:rFonts w:ascii="Garamond" w:hAnsi="Garamond"/>
        </w:rPr>
        <w:t xml:space="preserve">to which </w:t>
      </w:r>
      <w:r w:rsidR="00415B94" w:rsidRPr="00B708D3">
        <w:rPr>
          <w:rFonts w:ascii="Garamond" w:hAnsi="Garamond"/>
        </w:rPr>
        <w:t>practitioner and patient</w:t>
      </w:r>
      <w:r w:rsidR="00576593" w:rsidRPr="00B708D3">
        <w:rPr>
          <w:rFonts w:ascii="Garamond" w:hAnsi="Garamond"/>
        </w:rPr>
        <w:t xml:space="preserve"> </w:t>
      </w:r>
      <w:r w:rsidR="00415B94" w:rsidRPr="00B708D3">
        <w:rPr>
          <w:rFonts w:ascii="Garamond" w:hAnsi="Garamond"/>
        </w:rPr>
        <w:t>may respond</w:t>
      </w:r>
      <w:r w:rsidR="00AF40F1" w:rsidRPr="00B708D3">
        <w:rPr>
          <w:rFonts w:ascii="Garamond" w:hAnsi="Garamond"/>
        </w:rPr>
        <w:t>.</w:t>
      </w:r>
    </w:p>
    <w:p w:rsidR="00415B94" w:rsidRPr="00B708D3" w:rsidRDefault="00415B94" w:rsidP="00086064">
      <w:pPr>
        <w:rPr>
          <w:rFonts w:ascii="Garamond" w:hAnsi="Garamond"/>
        </w:rPr>
      </w:pPr>
    </w:p>
    <w:p w:rsidR="00415B94" w:rsidRPr="00B708D3" w:rsidRDefault="00415B94" w:rsidP="00086064">
      <w:pPr>
        <w:rPr>
          <w:rFonts w:ascii="Garamond" w:hAnsi="Garamond"/>
        </w:rPr>
      </w:pPr>
      <w:r w:rsidRPr="00B708D3">
        <w:rPr>
          <w:rFonts w:ascii="Garamond" w:hAnsi="Garamond"/>
        </w:rPr>
        <w:t>The issue of implementation is clearly important.  The informati</w:t>
      </w:r>
      <w:r w:rsidR="00AF40F1" w:rsidRPr="00B708D3">
        <w:rPr>
          <w:rFonts w:ascii="Garamond" w:hAnsi="Garamond"/>
        </w:rPr>
        <w:t>on content under this attribute</w:t>
      </w:r>
      <w:r w:rsidRPr="00B708D3">
        <w:rPr>
          <w:rFonts w:ascii="Garamond" w:hAnsi="Garamond"/>
        </w:rPr>
        <w:t xml:space="preserve"> depends on the inherent capacity to support data acquisition.  It also depends on implementation </w:t>
      </w:r>
      <w:r w:rsidR="00576593" w:rsidRPr="00B708D3">
        <w:rPr>
          <w:rFonts w:ascii="Garamond" w:hAnsi="Garamond"/>
        </w:rPr>
        <w:t xml:space="preserve">of HIT </w:t>
      </w:r>
      <w:r w:rsidRPr="00B708D3">
        <w:rPr>
          <w:rFonts w:ascii="Garamond" w:hAnsi="Garamond"/>
        </w:rPr>
        <w:t>by the practitioner</w:t>
      </w:r>
      <w:r w:rsidR="00576593" w:rsidRPr="00B708D3">
        <w:rPr>
          <w:rFonts w:ascii="Garamond" w:hAnsi="Garamond"/>
        </w:rPr>
        <w:t xml:space="preserve"> and his/her skill in using the software.</w:t>
      </w:r>
      <w:r w:rsidR="009F1587" w:rsidRPr="00B708D3">
        <w:rPr>
          <w:rFonts w:ascii="Garamond" w:hAnsi="Garamond"/>
        </w:rPr>
        <w:t xml:space="preserve"> Our assumption for this paper is that each provider has implemented the HIT to the maximum level</w:t>
      </w:r>
      <w:r w:rsidRPr="00B708D3">
        <w:rPr>
          <w:rFonts w:ascii="Garamond" w:hAnsi="Garamond"/>
        </w:rPr>
        <w:t>.</w:t>
      </w:r>
      <w:r w:rsidR="009F1587" w:rsidRPr="00B708D3">
        <w:rPr>
          <w:rFonts w:ascii="Garamond" w:hAnsi="Garamond"/>
        </w:rPr>
        <w:t xml:space="preserve">  </w:t>
      </w:r>
      <w:r w:rsidR="00C81681" w:rsidRPr="00B708D3">
        <w:rPr>
          <w:rFonts w:ascii="Garamond" w:hAnsi="Garamond"/>
        </w:rPr>
        <w:t>Empirical</w:t>
      </w:r>
      <w:r w:rsidR="009F1587" w:rsidRPr="00B708D3">
        <w:rPr>
          <w:rFonts w:ascii="Garamond" w:hAnsi="Garamond"/>
        </w:rPr>
        <w:t xml:space="preserve"> measurement of HIT benefit</w:t>
      </w:r>
      <w:r w:rsidR="00A11C3B" w:rsidRPr="00B708D3">
        <w:rPr>
          <w:rFonts w:ascii="Garamond" w:hAnsi="Garamond"/>
        </w:rPr>
        <w:t>s</w:t>
      </w:r>
      <w:r w:rsidR="009F1587" w:rsidRPr="00B708D3">
        <w:rPr>
          <w:rFonts w:ascii="Garamond" w:hAnsi="Garamond"/>
        </w:rPr>
        <w:t xml:space="preserve"> will need to measure the implementation or “maturity” of the technology.</w:t>
      </w:r>
    </w:p>
    <w:p w:rsidR="00415B94" w:rsidRPr="00B708D3" w:rsidRDefault="00415B94" w:rsidP="00086064">
      <w:pPr>
        <w:rPr>
          <w:rFonts w:ascii="Garamond" w:hAnsi="Garamond"/>
        </w:rPr>
      </w:pPr>
    </w:p>
    <w:p w:rsidR="002D7225" w:rsidRPr="00B708D3" w:rsidRDefault="009F1587" w:rsidP="00086064">
      <w:pPr>
        <w:rPr>
          <w:rFonts w:ascii="Garamond" w:hAnsi="Garamond"/>
        </w:rPr>
      </w:pPr>
      <w:r w:rsidRPr="00B708D3">
        <w:rPr>
          <w:rFonts w:ascii="Garamond" w:hAnsi="Garamond"/>
        </w:rPr>
        <w:t xml:space="preserve">Table </w:t>
      </w:r>
      <w:r w:rsidR="00750191" w:rsidRPr="00B708D3">
        <w:rPr>
          <w:rFonts w:ascii="Garamond" w:hAnsi="Garamond"/>
        </w:rPr>
        <w:t>2</w:t>
      </w:r>
      <w:r w:rsidRPr="00B708D3">
        <w:rPr>
          <w:rFonts w:ascii="Garamond" w:hAnsi="Garamond"/>
        </w:rPr>
        <w:t xml:space="preserve"> extends the </w:t>
      </w:r>
      <w:r w:rsidR="00A11C3B" w:rsidRPr="00B708D3">
        <w:rPr>
          <w:rFonts w:ascii="Garamond" w:hAnsi="Garamond"/>
        </w:rPr>
        <w:t>translation of attributes to information consequences</w:t>
      </w:r>
      <w:r w:rsidRPr="00B708D3">
        <w:rPr>
          <w:rFonts w:ascii="Garamond" w:hAnsi="Garamond"/>
        </w:rPr>
        <w:t xml:space="preserve"> to the </w:t>
      </w:r>
      <w:r w:rsidR="002D7225" w:rsidRPr="00B708D3">
        <w:rPr>
          <w:rFonts w:ascii="Garamond" w:hAnsi="Garamond"/>
          <w:i/>
        </w:rPr>
        <w:t>selected</w:t>
      </w:r>
      <w:r w:rsidR="002D7225" w:rsidRPr="00B708D3">
        <w:rPr>
          <w:rFonts w:ascii="Garamond" w:hAnsi="Garamond"/>
        </w:rPr>
        <w:t xml:space="preserve"> </w:t>
      </w:r>
      <w:r w:rsidRPr="00B708D3">
        <w:rPr>
          <w:rFonts w:ascii="Garamond" w:hAnsi="Garamond"/>
        </w:rPr>
        <w:t>behavioural changes</w:t>
      </w:r>
      <w:r w:rsidR="00784557" w:rsidRPr="00B708D3">
        <w:rPr>
          <w:rFonts w:ascii="Garamond" w:hAnsi="Garamond"/>
        </w:rPr>
        <w:t xml:space="preserve">.  </w:t>
      </w:r>
      <w:r w:rsidR="002D7225" w:rsidRPr="00B708D3">
        <w:rPr>
          <w:rFonts w:ascii="Garamond" w:hAnsi="Garamond"/>
        </w:rPr>
        <w:t>Other responses may occur depending on the setting and the features of the HIT.</w:t>
      </w:r>
    </w:p>
    <w:p w:rsidR="002D7225" w:rsidRPr="00B708D3" w:rsidRDefault="002D7225" w:rsidP="00086064">
      <w:pPr>
        <w:rPr>
          <w:rFonts w:ascii="Garamond" w:hAnsi="Garamond"/>
        </w:rPr>
      </w:pPr>
    </w:p>
    <w:p w:rsidR="009F1587" w:rsidRPr="00265269" w:rsidRDefault="00784557" w:rsidP="00086064">
      <w:pPr>
        <w:rPr>
          <w:rFonts w:ascii="Garamond" w:hAnsi="Garamond"/>
        </w:rPr>
      </w:pPr>
      <w:r w:rsidRPr="00B708D3">
        <w:rPr>
          <w:rFonts w:ascii="Garamond" w:hAnsi="Garamond"/>
        </w:rPr>
        <w:t>Again</w:t>
      </w:r>
      <w:r w:rsidR="00DB4D56" w:rsidRPr="00B708D3">
        <w:rPr>
          <w:rFonts w:ascii="Garamond" w:hAnsi="Garamond"/>
        </w:rPr>
        <w:t>,</w:t>
      </w:r>
      <w:r w:rsidRPr="00B708D3">
        <w:rPr>
          <w:rFonts w:ascii="Garamond" w:hAnsi="Garamond"/>
        </w:rPr>
        <w:t xml:space="preserve"> with respect to Attribute 1, the increased information on patients supports increased screening selection aligned to risk factors.  For example, evidence might suggest that routine screening for some conditions poses risks to patients in general.  Screening might be indicated for those with a family history.  The recent debate over the</w:t>
      </w:r>
      <w:r w:rsidR="00A11C3B" w:rsidRPr="00B708D3">
        <w:rPr>
          <w:rFonts w:ascii="Garamond" w:hAnsi="Garamond"/>
        </w:rPr>
        <w:t xml:space="preserve"> prostate-specific antigen</w:t>
      </w:r>
      <w:r w:rsidRPr="00B708D3">
        <w:rPr>
          <w:rFonts w:ascii="Garamond" w:hAnsi="Garamond"/>
        </w:rPr>
        <w:t xml:space="preserve"> </w:t>
      </w:r>
      <w:r w:rsidR="00A11C3B" w:rsidRPr="00B708D3">
        <w:rPr>
          <w:rFonts w:ascii="Garamond" w:hAnsi="Garamond"/>
        </w:rPr>
        <w:t>(</w:t>
      </w:r>
      <w:r w:rsidRPr="00B708D3">
        <w:rPr>
          <w:rFonts w:ascii="Garamond" w:hAnsi="Garamond"/>
        </w:rPr>
        <w:t>PSA</w:t>
      </w:r>
      <w:r w:rsidR="00A11C3B" w:rsidRPr="00B708D3">
        <w:rPr>
          <w:rFonts w:ascii="Garamond" w:hAnsi="Garamond"/>
        </w:rPr>
        <w:t>)</w:t>
      </w:r>
      <w:r w:rsidRPr="00B708D3">
        <w:rPr>
          <w:rFonts w:ascii="Garamond" w:hAnsi="Garamond"/>
        </w:rPr>
        <w:t xml:space="preserve"> is a case in point, where a false positive for the PSA may result in biopsies that induce serious complications.  Other</w:t>
      </w:r>
      <w:r w:rsidR="00AF40F1" w:rsidRPr="00B708D3">
        <w:rPr>
          <w:rFonts w:ascii="Garamond" w:hAnsi="Garamond"/>
        </w:rPr>
        <w:t xml:space="preserve"> </w:t>
      </w:r>
      <w:r w:rsidR="00A11C3B" w:rsidRPr="00B708D3">
        <w:rPr>
          <w:rFonts w:ascii="Garamond" w:hAnsi="Garamond"/>
        </w:rPr>
        <w:t>types</w:t>
      </w:r>
      <w:r w:rsidR="00AF40F1" w:rsidRPr="00B708D3">
        <w:rPr>
          <w:rFonts w:ascii="Garamond" w:hAnsi="Garamond"/>
        </w:rPr>
        <w:t xml:space="preserve"> of</w:t>
      </w:r>
      <w:r w:rsidRPr="00B708D3">
        <w:rPr>
          <w:rFonts w:ascii="Garamond" w:hAnsi="Garamond"/>
        </w:rPr>
        <w:t xml:space="preserve"> cancer screening</w:t>
      </w:r>
      <w:r w:rsidR="00AF40F1" w:rsidRPr="00B708D3">
        <w:rPr>
          <w:rFonts w:ascii="Garamond" w:hAnsi="Garamond"/>
        </w:rPr>
        <w:t>,</w:t>
      </w:r>
      <w:r w:rsidRPr="00B708D3">
        <w:rPr>
          <w:rFonts w:ascii="Garamond" w:hAnsi="Garamond"/>
        </w:rPr>
        <w:t xml:space="preserve"> such as mammograms</w:t>
      </w:r>
      <w:r w:rsidR="00AF40F1" w:rsidRPr="00B708D3">
        <w:rPr>
          <w:rFonts w:ascii="Garamond" w:hAnsi="Garamond"/>
        </w:rPr>
        <w:t>,</w:t>
      </w:r>
      <w:r w:rsidRPr="00B708D3">
        <w:rPr>
          <w:rFonts w:ascii="Garamond" w:hAnsi="Garamond"/>
        </w:rPr>
        <w:t xml:space="preserve"> also present potential adverse outcomes associated with false positives.  Increased reliabil</w:t>
      </w:r>
      <w:r w:rsidR="00805962" w:rsidRPr="00B708D3">
        <w:rPr>
          <w:rFonts w:ascii="Garamond" w:hAnsi="Garamond"/>
        </w:rPr>
        <w:t>ity and text of patient data within the HIT support</w:t>
      </w:r>
      <w:r w:rsidR="002D7225" w:rsidRPr="00B708D3">
        <w:rPr>
          <w:rFonts w:ascii="Garamond" w:hAnsi="Garamond"/>
        </w:rPr>
        <w:t>s more in</w:t>
      </w:r>
      <w:r w:rsidR="00AF40F1" w:rsidRPr="00B708D3">
        <w:rPr>
          <w:rFonts w:ascii="Garamond" w:hAnsi="Garamond"/>
        </w:rPr>
        <w:t>formed decision</w:t>
      </w:r>
      <w:r w:rsidR="00E53EA5" w:rsidRPr="00B708D3">
        <w:rPr>
          <w:rFonts w:ascii="Garamond" w:hAnsi="Garamond"/>
        </w:rPr>
        <w:t>-</w:t>
      </w:r>
      <w:r w:rsidR="002D7225" w:rsidRPr="00B708D3">
        <w:rPr>
          <w:rFonts w:ascii="Garamond" w:hAnsi="Garamond"/>
        </w:rPr>
        <w:t>making.  Benefit evalua</w:t>
      </w:r>
      <w:r w:rsidR="00AF40F1" w:rsidRPr="00B708D3">
        <w:rPr>
          <w:rFonts w:ascii="Garamond" w:hAnsi="Garamond"/>
        </w:rPr>
        <w:t xml:space="preserve">tion of HIT </w:t>
      </w:r>
      <w:r w:rsidR="00A11C3B" w:rsidRPr="00B708D3">
        <w:rPr>
          <w:rFonts w:ascii="Garamond" w:hAnsi="Garamond"/>
        </w:rPr>
        <w:t>depends upon</w:t>
      </w:r>
      <w:r w:rsidR="00AF40F1" w:rsidRPr="00B708D3">
        <w:rPr>
          <w:rFonts w:ascii="Garamond" w:hAnsi="Garamond"/>
        </w:rPr>
        <w:t xml:space="preserve"> a</w:t>
      </w:r>
      <w:r w:rsidR="002D7225" w:rsidRPr="00B708D3">
        <w:rPr>
          <w:rFonts w:ascii="Garamond" w:hAnsi="Garamond"/>
        </w:rPr>
        <w:t xml:space="preserve"> complete enumeration of possible behaviour responses.</w:t>
      </w:r>
    </w:p>
    <w:p w:rsidR="00784557" w:rsidRDefault="00784557" w:rsidP="00086064"/>
    <w:tbl>
      <w:tblPr>
        <w:tblpPr w:leftFromText="180" w:rightFromText="180" w:vertAnchor="text" w:horzAnchor="margin" w:tblpXSpec="center" w:tblpY="101"/>
        <w:tblW w:w="0" w:type="auto"/>
        <w:tblLayout w:type="fixed"/>
        <w:tblLook w:val="0000"/>
      </w:tblPr>
      <w:tblGrid>
        <w:gridCol w:w="378"/>
        <w:gridCol w:w="3132"/>
        <w:gridCol w:w="2700"/>
        <w:gridCol w:w="2790"/>
      </w:tblGrid>
      <w:tr w:rsidR="00750191" w:rsidRPr="00B708D3" w:rsidTr="004B1EC2">
        <w:trPr>
          <w:cantSplit/>
          <w:trHeight w:val="353"/>
          <w:tblHeader/>
        </w:trPr>
        <w:tc>
          <w:tcPr>
            <w:tcW w:w="9000" w:type="dxa"/>
            <w:gridSpan w:val="4"/>
            <w:tcBorders>
              <w:top w:val="single" w:sz="4" w:space="0" w:color="auto"/>
              <w:left w:val="single" w:sz="4" w:space="0" w:color="auto"/>
              <w:bottom w:val="single" w:sz="4" w:space="0" w:color="auto"/>
              <w:right w:val="single" w:sz="4" w:space="0" w:color="auto"/>
            </w:tcBorders>
            <w:vAlign w:val="center"/>
          </w:tcPr>
          <w:p w:rsidR="00750191" w:rsidRPr="00B708D3" w:rsidRDefault="00750191" w:rsidP="00A11C3B">
            <w:pPr>
              <w:rPr>
                <w:rStyle w:val="SubtleEmphasis"/>
                <w:rFonts w:ascii="Arial" w:hAnsi="Arial" w:cs="Arial"/>
                <w:b/>
                <w:i w:val="0"/>
                <w:iCs w:val="0"/>
                <w:color w:val="auto"/>
                <w:sz w:val="20"/>
              </w:rPr>
            </w:pPr>
            <w:r w:rsidRPr="00B708D3">
              <w:rPr>
                <w:rFonts w:ascii="Arial" w:hAnsi="Arial" w:cs="Arial"/>
                <w:b/>
                <w:sz w:val="20"/>
                <w:szCs w:val="20"/>
              </w:rPr>
              <w:t>Table 2</w:t>
            </w:r>
            <w:r w:rsidR="00A11C3B" w:rsidRPr="00B708D3">
              <w:rPr>
                <w:rFonts w:ascii="Arial" w:hAnsi="Arial" w:cs="Arial"/>
                <w:b/>
                <w:sz w:val="20"/>
                <w:szCs w:val="20"/>
              </w:rPr>
              <w:t xml:space="preserve">: High-level EMR attributes, </w:t>
            </w:r>
            <w:r w:rsidRPr="00B708D3">
              <w:rPr>
                <w:rFonts w:ascii="Arial" w:hAnsi="Arial" w:cs="Arial"/>
                <w:b/>
                <w:sz w:val="20"/>
                <w:szCs w:val="20"/>
              </w:rPr>
              <w:t>implied informational consequence</w:t>
            </w:r>
            <w:r w:rsidR="00A11C3B" w:rsidRPr="00B708D3">
              <w:rPr>
                <w:rFonts w:ascii="Arial" w:hAnsi="Arial" w:cs="Arial"/>
                <w:b/>
                <w:sz w:val="20"/>
                <w:szCs w:val="20"/>
              </w:rPr>
              <w:t>s, and behavioural responses</w:t>
            </w:r>
          </w:p>
        </w:tc>
      </w:tr>
      <w:tr w:rsidR="00750191" w:rsidRPr="00B708D3" w:rsidTr="004B1EC2">
        <w:trPr>
          <w:cantSplit/>
          <w:tblHeader/>
        </w:trPr>
        <w:tc>
          <w:tcPr>
            <w:tcW w:w="378" w:type="dxa"/>
            <w:tcBorders>
              <w:top w:val="single" w:sz="4" w:space="0" w:color="auto"/>
              <w:left w:val="single" w:sz="4" w:space="0" w:color="auto"/>
              <w:bottom w:val="single" w:sz="4" w:space="0" w:color="auto"/>
              <w:right w:val="single" w:sz="4" w:space="0" w:color="auto"/>
            </w:tcBorders>
            <w:vAlign w:val="center"/>
          </w:tcPr>
          <w:p w:rsidR="00750191" w:rsidRPr="00B708D3" w:rsidRDefault="00750191" w:rsidP="004B1EC2">
            <w:pPr>
              <w:jc w:val="center"/>
              <w:rPr>
                <w:rStyle w:val="SubtleEmphasis"/>
                <w:rFonts w:ascii="Arial" w:hAnsi="Arial" w:cs="Arial"/>
                <w:b/>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vAlign w:val="center"/>
          </w:tcPr>
          <w:p w:rsidR="00750191" w:rsidRPr="00B708D3" w:rsidRDefault="00750191"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Attribute</w:t>
            </w:r>
          </w:p>
        </w:tc>
        <w:tc>
          <w:tcPr>
            <w:tcW w:w="2700" w:type="dxa"/>
            <w:tcBorders>
              <w:top w:val="single" w:sz="4" w:space="0" w:color="auto"/>
              <w:left w:val="single" w:sz="4" w:space="0" w:color="auto"/>
              <w:bottom w:val="single" w:sz="4" w:space="0" w:color="auto"/>
              <w:right w:val="single" w:sz="4" w:space="0" w:color="auto"/>
            </w:tcBorders>
            <w:vAlign w:val="center"/>
          </w:tcPr>
          <w:p w:rsidR="00750191" w:rsidRPr="00B708D3" w:rsidRDefault="00AF40F1"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Information c</w:t>
            </w:r>
            <w:r w:rsidR="00750191" w:rsidRPr="00B708D3">
              <w:rPr>
                <w:rStyle w:val="SubtleEmphasis"/>
                <w:rFonts w:ascii="Arial" w:hAnsi="Arial" w:cs="Arial"/>
                <w:b/>
                <w:i w:val="0"/>
                <w:iCs w:val="0"/>
                <w:color w:val="auto"/>
                <w:sz w:val="20"/>
              </w:rPr>
              <w:t>onsequence</w:t>
            </w:r>
          </w:p>
        </w:tc>
        <w:tc>
          <w:tcPr>
            <w:tcW w:w="2790" w:type="dxa"/>
            <w:tcBorders>
              <w:top w:val="single" w:sz="4" w:space="0" w:color="auto"/>
              <w:left w:val="single" w:sz="4" w:space="0" w:color="auto"/>
              <w:bottom w:val="single" w:sz="4" w:space="0" w:color="auto"/>
              <w:right w:val="single" w:sz="4" w:space="0" w:color="auto"/>
            </w:tcBorders>
            <w:vAlign w:val="center"/>
          </w:tcPr>
          <w:p w:rsidR="00750191" w:rsidRPr="00B708D3" w:rsidRDefault="002D7225" w:rsidP="002D7225">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Selected p</w:t>
            </w:r>
            <w:r w:rsidR="00750191" w:rsidRPr="00B708D3">
              <w:rPr>
                <w:rStyle w:val="SubtleEmphasis"/>
                <w:rFonts w:ascii="Arial" w:hAnsi="Arial" w:cs="Arial"/>
                <w:b/>
                <w:i w:val="0"/>
                <w:iCs w:val="0"/>
                <w:color w:val="auto"/>
                <w:sz w:val="20"/>
              </w:rPr>
              <w:t>ossible behavioural responses</w:t>
            </w:r>
          </w:p>
        </w:tc>
      </w:tr>
      <w:tr w:rsidR="00750191" w:rsidRPr="00B708D3" w:rsidTr="004B1EC2">
        <w:trPr>
          <w:cantSplit/>
          <w:trHeight w:val="1322"/>
        </w:trPr>
        <w:tc>
          <w:tcPr>
            <w:tcW w:w="378" w:type="dxa"/>
            <w:tcBorders>
              <w:top w:val="single" w:sz="4" w:space="0" w:color="auto"/>
              <w:left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right w:val="single" w:sz="4" w:space="0" w:color="auto"/>
            </w:tcBorders>
          </w:tcPr>
          <w:p w:rsidR="00750191" w:rsidRPr="00B708D3" w:rsidRDefault="00750191" w:rsidP="006F52C5">
            <w:pPr>
              <w:pStyle w:val="ListParagraph"/>
              <w:ind w:left="0"/>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Health information </w:t>
            </w:r>
            <w:r w:rsidRPr="00B708D3">
              <w:rPr>
                <w:rStyle w:val="SubtleEmphasis"/>
                <w:rFonts w:ascii="Arial" w:hAnsi="Arial" w:cs="Arial"/>
                <w:i w:val="0"/>
                <w:iCs w:val="0"/>
                <w:color w:val="auto"/>
                <w:sz w:val="16"/>
                <w:szCs w:val="16"/>
              </w:rPr>
              <w:t>(patient demographics, medi</w:t>
            </w:r>
            <w:r w:rsidR="006F52C5" w:rsidRPr="00B708D3">
              <w:rPr>
                <w:rStyle w:val="SubtleEmphasis"/>
                <w:rFonts w:ascii="Arial" w:hAnsi="Arial" w:cs="Arial"/>
                <w:i w:val="0"/>
                <w:iCs w:val="0"/>
                <w:color w:val="auto"/>
                <w:sz w:val="16"/>
                <w:szCs w:val="16"/>
              </w:rPr>
              <w:t>cal/surgical history, allergies</w:t>
            </w:r>
            <w:r w:rsidRPr="00B708D3">
              <w:rPr>
                <w:rStyle w:val="SubtleEmphasis"/>
                <w:rFonts w:ascii="Arial" w:hAnsi="Arial" w:cs="Arial"/>
                <w:i w:val="0"/>
                <w:iCs w:val="0"/>
                <w:color w:val="auto"/>
                <w:sz w:val="16"/>
                <w:szCs w:val="16"/>
              </w:rPr>
              <w:t>)</w:t>
            </w:r>
          </w:p>
        </w:tc>
        <w:tc>
          <w:tcPr>
            <w:tcW w:w="2700" w:type="dxa"/>
            <w:tcBorders>
              <w:top w:val="single" w:sz="4" w:space="0" w:color="auto"/>
              <w:left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on patient attributes (family history, current health status</w:t>
            </w:r>
            <w:r w:rsidR="006211A2" w:rsidRPr="00B708D3">
              <w:rPr>
                <w:rStyle w:val="SubtleEmphasis"/>
                <w:rFonts w:ascii="Arial" w:hAnsi="Arial" w:cs="Arial"/>
                <w:i w:val="0"/>
                <w:iCs w:val="0"/>
                <w:color w:val="auto"/>
                <w:sz w:val="16"/>
                <w:szCs w:val="16"/>
              </w:rPr>
              <w:t>,</w:t>
            </w:r>
            <w:r w:rsidRPr="00B708D3">
              <w:rPr>
                <w:rStyle w:val="SubtleEmphasis"/>
                <w:rFonts w:ascii="Arial" w:hAnsi="Arial" w:cs="Arial"/>
                <w:i w:val="0"/>
                <w:iCs w:val="0"/>
                <w:color w:val="auto"/>
                <w:sz w:val="16"/>
                <w:szCs w:val="16"/>
              </w:rPr>
              <w:t xml:space="preserve"> lifestyle choices…)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recall errors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on patient risk factors (behavioural, genetic…)</w:t>
            </w:r>
          </w:p>
        </w:tc>
        <w:tc>
          <w:tcPr>
            <w:tcW w:w="2790" w:type="dxa"/>
            <w:tcBorders>
              <w:top w:val="single" w:sz="4" w:space="0" w:color="auto"/>
              <w:left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screening and diagnostic targeting</w:t>
            </w:r>
          </w:p>
          <w:p w:rsidR="00750191" w:rsidRPr="00B708D3" w:rsidRDefault="00AF40F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w:t>
            </w:r>
            <w:r w:rsidR="00750191" w:rsidRPr="00B708D3">
              <w:rPr>
                <w:rStyle w:val="SubtleEmphasis"/>
                <w:rFonts w:ascii="Arial" w:hAnsi="Arial" w:cs="Arial"/>
                <w:i w:val="0"/>
                <w:iCs w:val="0"/>
                <w:color w:val="auto"/>
                <w:sz w:val="16"/>
                <w:szCs w:val="16"/>
              </w:rPr>
              <w:t xml:space="preserve"> in substantive contact in collecting information on current condition leading to increased patient engagement</w:t>
            </w:r>
          </w:p>
          <w:p w:rsidR="00750191" w:rsidRPr="00B708D3" w:rsidRDefault="00750191" w:rsidP="004B1EC2">
            <w:pPr>
              <w:rPr>
                <w:rStyle w:val="SubtleEmphasis"/>
                <w:rFonts w:ascii="Arial" w:eastAsiaTheme="minorHAnsi" w:hAnsi="Arial" w:cs="Arial"/>
                <w:i w:val="0"/>
                <w:iCs w:val="0"/>
                <w:color w:val="auto"/>
                <w:sz w:val="16"/>
                <w:szCs w:val="16"/>
              </w:rPr>
            </w:pPr>
          </w:p>
        </w:tc>
      </w:tr>
      <w:tr w:rsidR="00750191" w:rsidRPr="00B708D3" w:rsidTr="004B1EC2">
        <w:trPr>
          <w:cantSplit/>
        </w:trPr>
        <w:tc>
          <w:tcPr>
            <w:tcW w:w="378"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tcPr>
          <w:p w:rsidR="00750191" w:rsidRPr="00B708D3" w:rsidRDefault="00750191" w:rsidP="004B1EC2">
            <w:pPr>
              <w:pStyle w:val="ListParagraph"/>
              <w:ind w:left="0"/>
              <w:rPr>
                <w:rStyle w:val="SubtleEmphasis"/>
                <w:rFonts w:ascii="Arial" w:hAnsi="Arial" w:cs="Arial"/>
                <w:i w:val="0"/>
                <w:iCs w:val="0"/>
                <w:color w:val="auto"/>
                <w:sz w:val="20"/>
              </w:rPr>
            </w:pPr>
            <w:r w:rsidRPr="00B708D3">
              <w:rPr>
                <w:rStyle w:val="SubtleEmphasis"/>
                <w:rFonts w:ascii="Arial" w:hAnsi="Arial" w:cs="Arial"/>
                <w:i w:val="0"/>
                <w:iCs w:val="0"/>
                <w:color w:val="auto"/>
                <w:sz w:val="20"/>
              </w:rPr>
              <w:t xml:space="preserve">Lab management </w:t>
            </w:r>
            <w:r w:rsidRPr="00B708D3">
              <w:rPr>
                <w:rStyle w:val="SubtleEmphasis"/>
                <w:rFonts w:ascii="Arial" w:hAnsi="Arial" w:cs="Arial"/>
                <w:i w:val="0"/>
                <w:iCs w:val="0"/>
                <w:color w:val="auto"/>
                <w:sz w:val="16"/>
                <w:szCs w:val="16"/>
              </w:rPr>
              <w:t>(ordering tests/diagnostic images, receiving results, reviewing results)</w:t>
            </w:r>
          </w:p>
        </w:tc>
        <w:tc>
          <w:tcPr>
            <w:tcW w:w="270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for information retrieval (results)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range of tests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 errors in ordering tests</w:t>
            </w:r>
          </w:p>
        </w:tc>
        <w:tc>
          <w:tcPr>
            <w:tcW w:w="279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Earlier diagnosis and treatment initiation</w:t>
            </w:r>
          </w:p>
          <w:p w:rsidR="00750191" w:rsidRPr="00B708D3" w:rsidRDefault="00750191" w:rsidP="00B708D3">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diagnosis and treatment plans</w:t>
            </w:r>
          </w:p>
        </w:tc>
      </w:tr>
      <w:tr w:rsidR="00750191" w:rsidRPr="00B708D3" w:rsidTr="004B1EC2">
        <w:trPr>
          <w:cantSplit/>
        </w:trPr>
        <w:tc>
          <w:tcPr>
            <w:tcW w:w="378"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tcPr>
          <w:p w:rsidR="00750191" w:rsidRPr="00B708D3" w:rsidRDefault="00750191" w:rsidP="004B1EC2">
            <w:pPr>
              <w:pStyle w:val="ListParagraph"/>
              <w:ind w:left="0"/>
              <w:rPr>
                <w:rStyle w:val="SubtleEmphasis"/>
                <w:rFonts w:ascii="Arial" w:hAnsi="Arial" w:cs="Arial"/>
                <w:i w:val="0"/>
                <w:iCs w:val="0"/>
                <w:color w:val="auto"/>
                <w:sz w:val="20"/>
              </w:rPr>
            </w:pPr>
            <w:r w:rsidRPr="00B708D3">
              <w:rPr>
                <w:rStyle w:val="SubtleEmphasis"/>
                <w:rFonts w:ascii="Arial" w:hAnsi="Arial" w:cs="Arial"/>
                <w:i w:val="0"/>
                <w:iCs w:val="0"/>
                <w:color w:val="auto"/>
                <w:sz w:val="20"/>
              </w:rPr>
              <w:t>Pharmaceutical management</w:t>
            </w:r>
            <w:r w:rsidRPr="00B708D3">
              <w:rPr>
                <w:rStyle w:val="SubtleEmphasis"/>
                <w:rFonts w:ascii="Arial" w:hAnsi="Arial" w:cs="Arial"/>
                <w:i w:val="0"/>
                <w:iCs w:val="0"/>
                <w:color w:val="auto"/>
                <w:sz w:val="16"/>
                <w:szCs w:val="16"/>
              </w:rPr>
              <w:t xml:space="preserve"> (prescribing, renewals, interaction assessment, cost control)</w:t>
            </w:r>
          </w:p>
        </w:tc>
        <w:tc>
          <w:tcPr>
            <w:tcW w:w="270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on treatment options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Contraindication  flagged at time of prescription</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cost data on alternatives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in renewal management</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Renewal data </w:t>
            </w:r>
          </w:p>
          <w:p w:rsidR="00750191" w:rsidRPr="00B708D3" w:rsidRDefault="00750191" w:rsidP="004B1EC2">
            <w:pPr>
              <w:ind w:left="162" w:hanging="180"/>
              <w:rPr>
                <w:rStyle w:val="SubtleEmphasis"/>
                <w:rFonts w:ascii="Arial" w:eastAsiaTheme="minorHAnsi" w:hAnsi="Arial" w:cs="Arial"/>
                <w:i w:val="0"/>
                <w:iCs w:val="0"/>
                <w:color w:val="auto"/>
                <w:sz w:val="16"/>
                <w:szCs w:val="16"/>
              </w:rPr>
            </w:pPr>
          </w:p>
        </w:tc>
        <w:tc>
          <w:tcPr>
            <w:tcW w:w="279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selection of medication</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Fewer errors; reduced incidence of  interactions/contraindications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fulfillment → earlier treatment and reduced time in renewal management</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Selection of lower cost equivalents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Verification that patients are following protocols</w:t>
            </w:r>
            <w:r w:rsidR="00A11C3B" w:rsidRPr="00B708D3">
              <w:rPr>
                <w:rStyle w:val="SubtleEmphasis"/>
                <w:rFonts w:ascii="Arial" w:hAnsi="Arial" w:cs="Arial"/>
                <w:i w:val="0"/>
                <w:iCs w:val="0"/>
                <w:color w:val="000000" w:themeColor="text1"/>
                <w:sz w:val="16"/>
                <w:szCs w:val="16"/>
              </w:rPr>
              <w:t xml:space="preserve"> and</w:t>
            </w:r>
            <w:r w:rsidRPr="00B708D3">
              <w:rPr>
                <w:rStyle w:val="SubtleEmphasis"/>
                <w:rFonts w:ascii="Arial" w:hAnsi="Arial" w:cs="Arial"/>
                <w:i w:val="0"/>
                <w:iCs w:val="0"/>
                <w:color w:val="000000" w:themeColor="text1"/>
                <w:sz w:val="16"/>
                <w:szCs w:val="16"/>
              </w:rPr>
              <w:t xml:space="preserve"> </w:t>
            </w:r>
            <w:r w:rsidRPr="00B708D3">
              <w:rPr>
                <w:rStyle w:val="SubtleEmphasis"/>
                <w:rFonts w:ascii="Arial" w:hAnsi="Arial" w:cs="Arial"/>
                <w:i w:val="0"/>
                <w:iCs w:val="0"/>
                <w:color w:val="auto"/>
                <w:sz w:val="16"/>
                <w:szCs w:val="16"/>
              </w:rPr>
              <w:t xml:space="preserve"> increased adherence to treatment </w:t>
            </w:r>
          </w:p>
        </w:tc>
      </w:tr>
      <w:tr w:rsidR="00750191" w:rsidRPr="00B708D3" w:rsidTr="004B1EC2">
        <w:trPr>
          <w:cantSplit/>
        </w:trPr>
        <w:tc>
          <w:tcPr>
            <w:tcW w:w="378"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tcPr>
          <w:p w:rsidR="00750191" w:rsidRPr="00B708D3" w:rsidRDefault="00750191" w:rsidP="004B1EC2">
            <w:pPr>
              <w:pStyle w:val="ListParagraph"/>
              <w:ind w:left="0"/>
              <w:rPr>
                <w:rStyle w:val="SubtleEmphasis"/>
                <w:rFonts w:ascii="Arial" w:hAnsi="Arial" w:cs="Arial"/>
                <w:b/>
                <w:i w:val="0"/>
                <w:iCs w:val="0"/>
                <w:color w:val="auto"/>
                <w:sz w:val="20"/>
              </w:rPr>
            </w:pPr>
            <w:r w:rsidRPr="00B708D3">
              <w:rPr>
                <w:rStyle w:val="SubtleEmphasis"/>
                <w:rFonts w:ascii="Arial" w:hAnsi="Arial" w:cs="Arial"/>
                <w:i w:val="0"/>
                <w:iCs w:val="0"/>
                <w:color w:val="auto"/>
                <w:sz w:val="20"/>
              </w:rPr>
              <w:t>Decision support (</w:t>
            </w:r>
            <w:r w:rsidRPr="00B708D3">
              <w:rPr>
                <w:rStyle w:val="SubtleEmphasis"/>
                <w:rFonts w:ascii="Arial" w:hAnsi="Arial" w:cs="Arial"/>
                <w:i w:val="0"/>
                <w:iCs w:val="0"/>
                <w:color w:val="auto"/>
                <w:sz w:val="16"/>
                <w:szCs w:val="16"/>
              </w:rPr>
              <w:t xml:space="preserve">screening, chronic care testing </w:t>
            </w:r>
            <w:r w:rsidR="006F52C5" w:rsidRPr="00B708D3">
              <w:rPr>
                <w:rStyle w:val="SubtleEmphasis"/>
                <w:rFonts w:ascii="Arial" w:hAnsi="Arial" w:cs="Arial"/>
                <w:i w:val="0"/>
                <w:iCs w:val="0"/>
                <w:color w:val="auto"/>
                <w:sz w:val="16"/>
                <w:szCs w:val="16"/>
              </w:rPr>
              <w:t xml:space="preserve">and </w:t>
            </w:r>
            <w:r w:rsidRPr="00B708D3">
              <w:rPr>
                <w:rStyle w:val="SubtleEmphasis"/>
                <w:rFonts w:ascii="Arial" w:hAnsi="Arial" w:cs="Arial"/>
                <w:i w:val="0"/>
                <w:iCs w:val="0"/>
                <w:color w:val="auto"/>
                <w:sz w:val="16"/>
                <w:szCs w:val="16"/>
              </w:rPr>
              <w:t>monitoring, medical care management across classes of patients [see also  Practice management])</w:t>
            </w:r>
          </w:p>
        </w:tc>
        <w:tc>
          <w:tcPr>
            <w:tcW w:w="270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information to identify risk factors in patients </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monitoring of compliance (renewal monitoring)</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Algorithmic diagnoses (test results interpreted in the context of patient history)</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status monitoring</w:t>
            </w:r>
          </w:p>
        </w:tc>
        <w:tc>
          <w:tcPr>
            <w:tcW w:w="279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screening rates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Better treatment plans → faster recovery </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screening rates and increased numbers involved in screening</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monitoring of compliance (renewal monitoring)</w:t>
            </w:r>
          </w:p>
        </w:tc>
      </w:tr>
      <w:tr w:rsidR="00750191" w:rsidRPr="00B708D3" w:rsidTr="004B1EC2">
        <w:trPr>
          <w:cantSplit/>
        </w:trPr>
        <w:tc>
          <w:tcPr>
            <w:tcW w:w="378"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tcPr>
          <w:p w:rsidR="00750191" w:rsidRPr="00B708D3" w:rsidRDefault="00750191" w:rsidP="004B1EC2">
            <w:pPr>
              <w:pStyle w:val="ListParagraph"/>
              <w:ind w:left="0"/>
              <w:rPr>
                <w:rStyle w:val="SubtleEmphasis"/>
                <w:rFonts w:ascii="Arial" w:hAnsi="Arial" w:cs="Arial"/>
                <w:b/>
                <w:i w:val="0"/>
                <w:iCs w:val="0"/>
                <w:color w:val="auto"/>
                <w:sz w:val="20"/>
              </w:rPr>
            </w:pPr>
            <w:r w:rsidRPr="00B708D3">
              <w:rPr>
                <w:rStyle w:val="SubtleEmphasis"/>
                <w:rFonts w:ascii="Arial" w:hAnsi="Arial" w:cs="Arial"/>
                <w:i w:val="0"/>
                <w:iCs w:val="0"/>
                <w:color w:val="auto"/>
                <w:sz w:val="20"/>
              </w:rPr>
              <w:t>Patient engagement</w:t>
            </w:r>
            <w:r w:rsidRPr="00B708D3">
              <w:rPr>
                <w:rStyle w:val="SubtleEmphasis"/>
                <w:rFonts w:ascii="Arial" w:hAnsi="Arial" w:cs="Arial"/>
                <w:b/>
                <w:i w:val="0"/>
                <w:iCs w:val="0"/>
                <w:color w:val="auto"/>
                <w:sz w:val="20"/>
              </w:rPr>
              <w:t xml:space="preserve"> </w:t>
            </w:r>
            <w:r w:rsidRPr="00B708D3">
              <w:rPr>
                <w:rStyle w:val="SubtleEmphasis"/>
                <w:rFonts w:ascii="Arial" w:hAnsi="Arial" w:cs="Arial"/>
                <w:i w:val="0"/>
                <w:iCs w:val="0"/>
                <w:color w:val="auto"/>
                <w:sz w:val="16"/>
                <w:szCs w:val="16"/>
              </w:rPr>
              <w:t>(education, motivation, information sharing)</w:t>
            </w:r>
          </w:p>
        </w:tc>
        <w:tc>
          <w:tcPr>
            <w:tcW w:w="270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patient comprehension of condition and treatment strategy</w:t>
            </w:r>
          </w:p>
          <w:p w:rsidR="00750191" w:rsidRPr="00B708D3" w:rsidRDefault="00750191" w:rsidP="004B1EC2">
            <w:pPr>
              <w:ind w:left="162" w:hanging="180"/>
              <w:rPr>
                <w:rStyle w:val="SubtleEmphasis"/>
                <w:rFonts w:ascii="Arial" w:eastAsiaTheme="minorHAnsi" w:hAnsi="Arial" w:cs="Arial"/>
                <w:i w:val="0"/>
                <w:iCs w:val="0"/>
                <w:color w:val="auto"/>
                <w:sz w:val="16"/>
                <w:szCs w:val="16"/>
              </w:rPr>
            </w:pPr>
          </w:p>
        </w:tc>
        <w:tc>
          <w:tcPr>
            <w:tcW w:w="279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Patients adopt healthier lifestyles </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patient comprehension of condition and</w:t>
            </w:r>
            <w:r w:rsidR="00A11C3B" w:rsidRPr="00B708D3">
              <w:rPr>
                <w:rStyle w:val="SubtleEmphasis"/>
                <w:rFonts w:ascii="Arial" w:hAnsi="Arial" w:cs="Arial"/>
                <w:i w:val="0"/>
                <w:iCs w:val="0"/>
                <w:color w:val="auto"/>
                <w:sz w:val="16"/>
                <w:szCs w:val="16"/>
              </w:rPr>
              <w:t xml:space="preserve"> participation in treatment strategies</w:t>
            </w:r>
            <w:r w:rsidRPr="00B708D3">
              <w:rPr>
                <w:rStyle w:val="SubtleEmphasis"/>
                <w:rFonts w:ascii="Arial" w:hAnsi="Arial" w:cs="Arial"/>
                <w:i w:val="0"/>
                <w:iCs w:val="0"/>
                <w:color w:val="auto"/>
                <w:sz w:val="16"/>
                <w:szCs w:val="16"/>
              </w:rPr>
              <w:t xml:space="preserve"> </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motivation and adherence to treatment regimes</w:t>
            </w:r>
          </w:p>
        </w:tc>
      </w:tr>
      <w:tr w:rsidR="00750191" w:rsidRPr="00B708D3" w:rsidTr="004B1EC2">
        <w:trPr>
          <w:cantSplit/>
        </w:trPr>
        <w:tc>
          <w:tcPr>
            <w:tcW w:w="378"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26"/>
              </w:numPr>
              <w:ind w:left="180" w:hanging="180"/>
              <w:rPr>
                <w:rStyle w:val="SubtleEmphasis"/>
                <w:rFonts w:ascii="Arial" w:hAnsi="Arial" w:cs="Arial"/>
                <w:i w:val="0"/>
                <w:iCs w:val="0"/>
                <w:color w:val="auto"/>
                <w:sz w:val="20"/>
              </w:rPr>
            </w:pPr>
          </w:p>
        </w:tc>
        <w:tc>
          <w:tcPr>
            <w:tcW w:w="3132" w:type="dxa"/>
            <w:tcBorders>
              <w:top w:val="single" w:sz="4" w:space="0" w:color="auto"/>
              <w:left w:val="single" w:sz="4" w:space="0" w:color="auto"/>
              <w:bottom w:val="single" w:sz="4" w:space="0" w:color="auto"/>
              <w:right w:val="single" w:sz="4" w:space="0" w:color="auto"/>
            </w:tcBorders>
          </w:tcPr>
          <w:p w:rsidR="00750191" w:rsidRPr="00B708D3" w:rsidRDefault="00750191" w:rsidP="004B1EC2">
            <w:pPr>
              <w:pStyle w:val="ListParagraph"/>
              <w:ind w:left="0"/>
              <w:rPr>
                <w:rStyle w:val="SubtleEmphasis"/>
                <w:rFonts w:ascii="Arial" w:hAnsi="Arial" w:cs="Arial"/>
                <w:b/>
                <w:i w:val="0"/>
                <w:iCs w:val="0"/>
                <w:color w:val="auto"/>
                <w:sz w:val="20"/>
              </w:rPr>
            </w:pPr>
            <w:r w:rsidRPr="00B708D3">
              <w:rPr>
                <w:rStyle w:val="SubtleEmphasis"/>
                <w:rFonts w:ascii="Arial" w:hAnsi="Arial" w:cs="Arial"/>
                <w:i w:val="0"/>
                <w:iCs w:val="0"/>
                <w:color w:val="auto"/>
                <w:sz w:val="20"/>
              </w:rPr>
              <w:t>Administration and practice management</w:t>
            </w:r>
            <w:r w:rsidRPr="00B708D3">
              <w:rPr>
                <w:rStyle w:val="SubtleEmphasis"/>
                <w:rFonts w:ascii="Arial" w:hAnsi="Arial" w:cs="Arial"/>
                <w:b/>
                <w:i w:val="0"/>
                <w:iCs w:val="0"/>
                <w:color w:val="auto"/>
                <w:sz w:val="20"/>
              </w:rPr>
              <w:t xml:space="preserve"> </w:t>
            </w:r>
            <w:r w:rsidRPr="00B708D3">
              <w:rPr>
                <w:rStyle w:val="SubtleEmphasis"/>
                <w:rFonts w:ascii="Arial" w:hAnsi="Arial" w:cs="Arial"/>
                <w:i w:val="0"/>
                <w:iCs w:val="0"/>
                <w:color w:val="auto"/>
                <w:sz w:val="16"/>
                <w:szCs w:val="16"/>
              </w:rPr>
              <w:t>(scheduling, billing, data management,  evaluation of individual and team performance, use of collected data for research into practice</w:t>
            </w:r>
            <w:r w:rsidRPr="00B708D3">
              <w:rPr>
                <w:rStyle w:val="SubtleEmphasis"/>
                <w:rFonts w:ascii="Arial" w:hAnsi="Arial" w:cs="Arial"/>
                <w:b/>
                <w:i w:val="0"/>
                <w:iCs w:val="0"/>
                <w:color w:val="auto"/>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on scheduling options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information for invoicing, resource management, HR management</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data on staff productivity</w:t>
            </w:r>
          </w:p>
          <w:p w:rsidR="00750191" w:rsidRPr="00B708D3" w:rsidRDefault="00805962" w:rsidP="00B708D3">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Data on outcomes </w:t>
            </w:r>
          </w:p>
        </w:tc>
        <w:tc>
          <w:tcPr>
            <w:tcW w:w="2790" w:type="dxa"/>
            <w:tcBorders>
              <w:top w:val="single" w:sz="4" w:space="0" w:color="auto"/>
              <w:left w:val="single" w:sz="4" w:space="0" w:color="auto"/>
              <w:bottom w:val="single" w:sz="4" w:space="0" w:color="auto"/>
              <w:right w:val="single" w:sz="4" w:space="0" w:color="auto"/>
            </w:tcBorders>
          </w:tcPr>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Higher throughput of patients</w:t>
            </w:r>
          </w:p>
          <w:p w:rsidR="00750191" w:rsidRPr="00B708D3" w:rsidRDefault="00750191" w:rsidP="0075019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effectiveness in management of practice human resources</w:t>
            </w:r>
          </w:p>
          <w:p w:rsidR="00750191" w:rsidRPr="00B708D3" w:rsidRDefault="00805962" w:rsidP="00805962">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w:t>
            </w:r>
            <w:r w:rsidR="00750191" w:rsidRPr="00B708D3">
              <w:rPr>
                <w:rStyle w:val="SubtleEmphasis"/>
                <w:rFonts w:ascii="Arial" w:hAnsi="Arial" w:cs="Arial"/>
                <w:i w:val="0"/>
                <w:iCs w:val="0"/>
                <w:color w:val="auto"/>
                <w:sz w:val="16"/>
                <w:szCs w:val="16"/>
              </w:rPr>
              <w:t>ncreased understanding of treatment effectiveness</w:t>
            </w:r>
          </w:p>
        </w:tc>
      </w:tr>
      <w:tr w:rsidR="00750191" w:rsidRPr="00C24A77" w:rsidTr="004B1EC2">
        <w:tc>
          <w:tcPr>
            <w:tcW w:w="9000" w:type="dxa"/>
            <w:gridSpan w:val="4"/>
            <w:tcBorders>
              <w:top w:val="single" w:sz="4" w:space="0" w:color="auto"/>
              <w:left w:val="single" w:sz="4" w:space="0" w:color="auto"/>
              <w:bottom w:val="single" w:sz="4" w:space="0" w:color="auto"/>
              <w:right w:val="single" w:sz="4" w:space="0" w:color="auto"/>
            </w:tcBorders>
          </w:tcPr>
          <w:p w:rsidR="00750191" w:rsidRPr="003600F4" w:rsidRDefault="00750191"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Adapted from Price and Lau (2011)</w:t>
            </w:r>
          </w:p>
        </w:tc>
      </w:tr>
    </w:tbl>
    <w:p w:rsidR="00125702" w:rsidRDefault="00125702" w:rsidP="00086064"/>
    <w:p w:rsidR="00B708D3" w:rsidRDefault="00B708D3">
      <w:pPr>
        <w:spacing w:after="200" w:line="276" w:lineRule="auto"/>
        <w:rPr>
          <w:rFonts w:ascii="Garamond" w:hAnsi="Garamond"/>
        </w:rPr>
      </w:pPr>
      <w:r>
        <w:rPr>
          <w:rFonts w:ascii="Garamond" w:hAnsi="Garamond"/>
        </w:rPr>
        <w:br w:type="page"/>
      </w:r>
    </w:p>
    <w:p w:rsidR="00750191" w:rsidRPr="00265269" w:rsidRDefault="00805962" w:rsidP="00086064">
      <w:pPr>
        <w:rPr>
          <w:rFonts w:ascii="Garamond" w:hAnsi="Garamond"/>
        </w:rPr>
      </w:pPr>
      <w:r w:rsidRPr="00B708D3">
        <w:rPr>
          <w:rFonts w:ascii="Garamond" w:hAnsi="Garamond"/>
        </w:rPr>
        <w:t>The next step in the result chain is to link each attribute to immediate outcome</w:t>
      </w:r>
      <w:r w:rsidR="00A11C3B" w:rsidRPr="00B708D3">
        <w:rPr>
          <w:rFonts w:ascii="Garamond" w:hAnsi="Garamond"/>
        </w:rPr>
        <w:t>s</w:t>
      </w:r>
      <w:r w:rsidR="008512C9" w:rsidRPr="00B708D3">
        <w:rPr>
          <w:rFonts w:ascii="Garamond" w:hAnsi="Garamond"/>
        </w:rPr>
        <w:t xml:space="preserve">.  </w:t>
      </w:r>
      <w:r w:rsidRPr="00B708D3">
        <w:rPr>
          <w:rFonts w:ascii="Garamond" w:hAnsi="Garamond"/>
        </w:rPr>
        <w:t xml:space="preserve">Table 3 presents this step, omitting the intermediate informational consequence and behaviour change. </w:t>
      </w:r>
      <w:r w:rsidR="00525E7E" w:rsidRPr="00B708D3">
        <w:rPr>
          <w:rFonts w:ascii="Garamond" w:hAnsi="Garamond"/>
        </w:rPr>
        <w:t>These</w:t>
      </w:r>
      <w:r w:rsidR="008512C9" w:rsidRPr="00B708D3">
        <w:rPr>
          <w:rFonts w:ascii="Garamond" w:hAnsi="Garamond"/>
        </w:rPr>
        <w:t xml:space="preserve"> immediate outcomes form the empirical base for measuring</w:t>
      </w:r>
      <w:r w:rsidR="006F7CED" w:rsidRPr="00B708D3">
        <w:rPr>
          <w:rFonts w:ascii="Garamond" w:hAnsi="Garamond"/>
        </w:rPr>
        <w:t xml:space="preserve"> the immediate </w:t>
      </w:r>
      <w:r w:rsidR="008512C9" w:rsidRPr="00B708D3">
        <w:rPr>
          <w:rFonts w:ascii="Garamond" w:hAnsi="Garamond"/>
        </w:rPr>
        <w:t>benefits of HIT</w:t>
      </w:r>
      <w:r w:rsidR="006F7CED" w:rsidRPr="00B708D3">
        <w:rPr>
          <w:rFonts w:ascii="Garamond" w:hAnsi="Garamond"/>
        </w:rPr>
        <w:t xml:space="preserve">.  As will be made clear in the next section, </w:t>
      </w:r>
      <w:r w:rsidR="002D7225" w:rsidRPr="00B708D3">
        <w:rPr>
          <w:rFonts w:ascii="Garamond" w:hAnsi="Garamond"/>
        </w:rPr>
        <w:t xml:space="preserve">in the first instance, </w:t>
      </w:r>
      <w:r w:rsidR="006F7CED" w:rsidRPr="00B708D3">
        <w:rPr>
          <w:rFonts w:ascii="Garamond" w:hAnsi="Garamond"/>
        </w:rPr>
        <w:t>benefit evaluation of HIT should focus on immediate or short-term outcomes</w:t>
      </w:r>
      <w:r w:rsidR="00C81681" w:rsidRPr="00B708D3">
        <w:rPr>
          <w:rFonts w:ascii="Garamond" w:hAnsi="Garamond"/>
        </w:rPr>
        <w:t>.</w:t>
      </w:r>
    </w:p>
    <w:p w:rsidR="00086064" w:rsidRPr="00265269" w:rsidRDefault="00086064" w:rsidP="00086064">
      <w:pPr>
        <w:rPr>
          <w:rFonts w:ascii="Garamond" w:hAnsi="Garamond"/>
        </w:rPr>
      </w:pPr>
    </w:p>
    <w:tbl>
      <w:tblPr>
        <w:tblW w:w="8244" w:type="dxa"/>
        <w:jc w:val="center"/>
        <w:tblInd w:w="-756" w:type="dxa"/>
        <w:tblLayout w:type="fixed"/>
        <w:tblLook w:val="0000"/>
      </w:tblPr>
      <w:tblGrid>
        <w:gridCol w:w="432"/>
        <w:gridCol w:w="2340"/>
        <w:gridCol w:w="2610"/>
        <w:gridCol w:w="2862"/>
      </w:tblGrid>
      <w:tr w:rsidR="007E3D83" w:rsidRPr="00B708D3" w:rsidTr="009B0C80">
        <w:trPr>
          <w:cantSplit/>
          <w:tblHeader/>
          <w:jc w:val="center"/>
        </w:trPr>
        <w:tc>
          <w:tcPr>
            <w:tcW w:w="8244" w:type="dxa"/>
            <w:gridSpan w:val="4"/>
            <w:tcBorders>
              <w:top w:val="single" w:sz="4" w:space="0" w:color="auto"/>
              <w:left w:val="single" w:sz="4" w:space="0" w:color="auto"/>
              <w:bottom w:val="single" w:sz="4" w:space="0" w:color="auto"/>
              <w:right w:val="single" w:sz="4" w:space="0" w:color="auto"/>
            </w:tcBorders>
            <w:vAlign w:val="center"/>
          </w:tcPr>
          <w:p w:rsidR="007E3D83" w:rsidRPr="00B708D3" w:rsidRDefault="007E3D83" w:rsidP="00805962">
            <w:pPr>
              <w:rPr>
                <w:rStyle w:val="SubtleEmphasis"/>
                <w:rFonts w:ascii="Arial" w:hAnsi="Arial" w:cs="Arial"/>
                <w:b/>
                <w:i w:val="0"/>
                <w:iCs w:val="0"/>
                <w:color w:val="auto"/>
                <w:sz w:val="20"/>
              </w:rPr>
            </w:pPr>
            <w:r w:rsidRPr="00B708D3">
              <w:rPr>
                <w:rFonts w:ascii="Arial" w:hAnsi="Arial" w:cs="Arial"/>
                <w:b/>
                <w:sz w:val="20"/>
                <w:szCs w:val="20"/>
              </w:rPr>
              <w:t xml:space="preserve">Table </w:t>
            </w:r>
            <w:r w:rsidR="00805962" w:rsidRPr="00B708D3">
              <w:rPr>
                <w:rFonts w:ascii="Arial" w:hAnsi="Arial" w:cs="Arial"/>
                <w:b/>
                <w:sz w:val="20"/>
                <w:szCs w:val="20"/>
              </w:rPr>
              <w:t>3</w:t>
            </w:r>
            <w:r w:rsidRPr="00B708D3">
              <w:rPr>
                <w:rFonts w:ascii="Arial" w:hAnsi="Arial" w:cs="Arial"/>
                <w:b/>
                <w:sz w:val="20"/>
                <w:szCs w:val="20"/>
              </w:rPr>
              <w:t>: High-level EMR attributes and</w:t>
            </w:r>
            <w:r w:rsidR="00805962" w:rsidRPr="00B708D3">
              <w:rPr>
                <w:rFonts w:ascii="Arial" w:hAnsi="Arial" w:cs="Arial"/>
                <w:b/>
                <w:sz w:val="20"/>
                <w:szCs w:val="20"/>
              </w:rPr>
              <w:t xml:space="preserve"> immediate outcomes </w:t>
            </w:r>
            <w:r w:rsidR="008512C9" w:rsidRPr="00B708D3">
              <w:rPr>
                <w:rStyle w:val="SubtleEmphasis"/>
                <w:rFonts w:ascii="Arial" w:hAnsi="Arial" w:cs="Arial"/>
                <w:b/>
                <w:i w:val="0"/>
                <w:iCs w:val="0"/>
                <w:color w:val="auto"/>
                <w:sz w:val="20"/>
              </w:rPr>
              <w:t>(benefits)</w:t>
            </w:r>
          </w:p>
        </w:tc>
      </w:tr>
      <w:tr w:rsidR="006F7CED" w:rsidRPr="00B708D3" w:rsidTr="006F7CED">
        <w:trPr>
          <w:cantSplit/>
          <w:tblHeader/>
          <w:jc w:val="center"/>
        </w:trPr>
        <w:tc>
          <w:tcPr>
            <w:tcW w:w="432" w:type="dxa"/>
            <w:tcBorders>
              <w:top w:val="single" w:sz="4" w:space="0" w:color="auto"/>
              <w:left w:val="single" w:sz="4" w:space="0" w:color="auto"/>
              <w:bottom w:val="single" w:sz="4" w:space="0" w:color="auto"/>
              <w:right w:val="single" w:sz="4" w:space="0" w:color="auto"/>
            </w:tcBorders>
            <w:vAlign w:val="center"/>
          </w:tcPr>
          <w:p w:rsidR="006F7CED" w:rsidRPr="00B708D3" w:rsidRDefault="006F7CED" w:rsidP="004B1EC2">
            <w:pPr>
              <w:jc w:val="center"/>
              <w:rPr>
                <w:rStyle w:val="SubtleEmphasis"/>
                <w:rFonts w:ascii="Arial" w:hAnsi="Arial" w:cs="Arial"/>
                <w:b/>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F7CED" w:rsidRPr="00B708D3" w:rsidRDefault="006F7CED"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Attribute</w:t>
            </w:r>
          </w:p>
        </w:tc>
        <w:tc>
          <w:tcPr>
            <w:tcW w:w="2610" w:type="dxa"/>
            <w:tcBorders>
              <w:top w:val="single" w:sz="4" w:space="0" w:color="auto"/>
              <w:left w:val="single" w:sz="4" w:space="0" w:color="auto"/>
              <w:bottom w:val="single" w:sz="4" w:space="0" w:color="auto"/>
              <w:right w:val="single" w:sz="4" w:space="0" w:color="auto"/>
            </w:tcBorders>
            <w:vAlign w:val="center"/>
          </w:tcPr>
          <w:p w:rsidR="006F7CED" w:rsidRPr="00B708D3" w:rsidRDefault="006F7CED"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Possible behavioural responses</w:t>
            </w:r>
          </w:p>
        </w:tc>
        <w:tc>
          <w:tcPr>
            <w:tcW w:w="2862" w:type="dxa"/>
            <w:tcBorders>
              <w:top w:val="single" w:sz="4" w:space="0" w:color="auto"/>
              <w:left w:val="single" w:sz="4" w:space="0" w:color="auto"/>
              <w:bottom w:val="single" w:sz="4" w:space="0" w:color="auto"/>
              <w:right w:val="single" w:sz="4" w:space="0" w:color="auto"/>
            </w:tcBorders>
            <w:vAlign w:val="center"/>
          </w:tcPr>
          <w:p w:rsidR="006F7CED" w:rsidRPr="00B708D3" w:rsidRDefault="002D7225" w:rsidP="004B1EC2">
            <w:pPr>
              <w:jc w:val="center"/>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Selected </w:t>
            </w:r>
            <w:r w:rsidR="00D829CB" w:rsidRPr="00B708D3">
              <w:rPr>
                <w:rStyle w:val="SubtleEmphasis"/>
                <w:rFonts w:ascii="Arial" w:hAnsi="Arial" w:cs="Arial"/>
                <w:b/>
                <w:i w:val="0"/>
                <w:iCs w:val="0"/>
                <w:color w:val="auto"/>
                <w:sz w:val="20"/>
              </w:rPr>
              <w:t>p</w:t>
            </w:r>
            <w:r w:rsidR="006F7CED" w:rsidRPr="00B708D3">
              <w:rPr>
                <w:rStyle w:val="SubtleEmphasis"/>
                <w:rFonts w:ascii="Arial" w:hAnsi="Arial" w:cs="Arial"/>
                <w:b/>
                <w:i w:val="0"/>
                <w:iCs w:val="0"/>
                <w:color w:val="auto"/>
                <w:sz w:val="20"/>
              </w:rPr>
              <w:t>otential immediate outcomes  (benefits)</w:t>
            </w:r>
          </w:p>
        </w:tc>
      </w:tr>
      <w:tr w:rsidR="006F7CED" w:rsidRPr="00B708D3" w:rsidTr="006F7CED">
        <w:trPr>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125702">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6F7CED" w:rsidP="009B0C80">
            <w:pPr>
              <w:pStyle w:val="ListParagraph"/>
              <w:ind w:left="-18"/>
              <w:rPr>
                <w:rStyle w:val="SubtleEmphasis"/>
                <w:rFonts w:ascii="Arial" w:hAnsi="Arial" w:cs="Arial"/>
                <w:i w:val="0"/>
                <w:iCs w:val="0"/>
                <w:color w:val="auto"/>
                <w:sz w:val="20"/>
              </w:rPr>
            </w:pPr>
            <w:r w:rsidRPr="00B708D3">
              <w:rPr>
                <w:rStyle w:val="SubtleEmphasis"/>
                <w:rFonts w:ascii="Arial" w:hAnsi="Arial" w:cs="Arial"/>
                <w:b/>
                <w:i w:val="0"/>
                <w:iCs w:val="0"/>
                <w:color w:val="auto"/>
                <w:sz w:val="20"/>
              </w:rPr>
              <w:t>Health information</w:t>
            </w:r>
            <w:r w:rsidRPr="00B708D3">
              <w:rPr>
                <w:rStyle w:val="SubtleEmphasis"/>
                <w:rFonts w:ascii="Arial" w:hAnsi="Arial" w:cs="Arial"/>
                <w:i w:val="0"/>
                <w:iCs w:val="0"/>
                <w:color w:val="auto"/>
                <w:sz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6F7CED" w:rsidRPr="00B708D3" w:rsidRDefault="006F7CED" w:rsidP="006F7CED">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screening and diagnostic targeting align to patient  attributes</w:t>
            </w:r>
          </w:p>
          <w:p w:rsidR="006F7CED" w:rsidRPr="00B708D3" w:rsidRDefault="006F7CED" w:rsidP="00B708D3">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treatment modalities</w:t>
            </w:r>
            <w:r w:rsidR="00B708D3">
              <w:rPr>
                <w:rStyle w:val="SubtleEmphasis"/>
                <w:rFonts w:ascii="Arial" w:hAnsi="Arial" w:cs="Arial"/>
                <w:i w:val="0"/>
                <w:iCs w:val="0"/>
                <w:color w:val="auto"/>
                <w:sz w:val="16"/>
                <w:szCs w:val="16"/>
              </w:rPr>
              <w:t xml:space="preserve"> </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6F7CED" w:rsidP="006F7CED">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Faster recovery with lower morbidity/mortality and fewer adverse outcomes </w:t>
            </w:r>
          </w:p>
          <w:p w:rsidR="006F7CED" w:rsidRPr="00B708D3" w:rsidRDefault="006F7CED" w:rsidP="00C81681">
            <w:pPr>
              <w:rPr>
                <w:rStyle w:val="SubtleEmphasis"/>
                <w:rFonts w:ascii="Arial" w:hAnsi="Arial" w:cs="Arial"/>
                <w:i w:val="0"/>
                <w:iCs w:val="0"/>
                <w:color w:val="auto"/>
                <w:sz w:val="16"/>
                <w:szCs w:val="16"/>
              </w:rPr>
            </w:pPr>
          </w:p>
        </w:tc>
      </w:tr>
      <w:tr w:rsidR="006F7CED" w:rsidRPr="00B708D3" w:rsidTr="00B708D3">
        <w:trPr>
          <w:trHeight w:val="530"/>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125702">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6F7CED" w:rsidP="009B0C80">
            <w:pPr>
              <w:pStyle w:val="ListParagraph"/>
              <w:ind w:left="-18"/>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Lab management</w:t>
            </w:r>
          </w:p>
        </w:tc>
        <w:tc>
          <w:tcPr>
            <w:tcW w:w="2610" w:type="dxa"/>
            <w:tcBorders>
              <w:top w:val="single" w:sz="4" w:space="0" w:color="auto"/>
              <w:left w:val="single" w:sz="4" w:space="0" w:color="auto"/>
              <w:bottom w:val="single" w:sz="4" w:space="0" w:color="auto"/>
              <w:right w:val="single" w:sz="4" w:space="0" w:color="auto"/>
            </w:tcBorders>
          </w:tcPr>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diagnostics</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Earlier initiation of treatment</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6F7CED" w:rsidP="00B708D3">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recovery</w:t>
            </w:r>
            <w:r w:rsidR="00D829CB" w:rsidRPr="00B708D3">
              <w:rPr>
                <w:rStyle w:val="SubtleEmphasis"/>
                <w:rFonts w:ascii="Arial" w:hAnsi="Arial" w:cs="Arial"/>
                <w:i w:val="0"/>
                <w:iCs w:val="0"/>
                <w:color w:val="auto"/>
                <w:sz w:val="16"/>
                <w:szCs w:val="16"/>
              </w:rPr>
              <w:t xml:space="preserve"> </w:t>
            </w:r>
            <w:r w:rsidR="00525E7E" w:rsidRPr="00B708D3">
              <w:rPr>
                <w:rStyle w:val="SubtleEmphasis"/>
                <w:rFonts w:ascii="Arial" w:hAnsi="Arial" w:cs="Arial"/>
                <w:i w:val="0"/>
                <w:iCs w:val="0"/>
                <w:color w:val="auto"/>
                <w:sz w:val="16"/>
                <w:szCs w:val="16"/>
              </w:rPr>
              <w:t>w</w:t>
            </w:r>
            <w:r w:rsidRPr="00B708D3">
              <w:rPr>
                <w:rStyle w:val="SubtleEmphasis"/>
                <w:rFonts w:ascii="Arial" w:hAnsi="Arial" w:cs="Arial"/>
                <w:i w:val="0"/>
                <w:iCs w:val="0"/>
                <w:color w:val="auto"/>
                <w:sz w:val="16"/>
                <w:szCs w:val="16"/>
              </w:rPr>
              <w:t xml:space="preserve">ith lower morbidity/mortality and fewer adverse outcomes </w:t>
            </w:r>
          </w:p>
        </w:tc>
      </w:tr>
      <w:tr w:rsidR="006F7CED" w:rsidRPr="00B708D3" w:rsidTr="006F7CED">
        <w:trPr>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125702">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6F7CED" w:rsidP="009B0C80">
            <w:pPr>
              <w:pStyle w:val="ListParagraph"/>
              <w:ind w:left="-18"/>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Pharmaceutical management </w:t>
            </w:r>
          </w:p>
        </w:tc>
        <w:tc>
          <w:tcPr>
            <w:tcW w:w="2610" w:type="dxa"/>
            <w:tcBorders>
              <w:top w:val="single" w:sz="4" w:space="0" w:color="auto"/>
              <w:left w:val="single" w:sz="4" w:space="0" w:color="auto"/>
              <w:bottom w:val="single" w:sz="4" w:space="0" w:color="auto"/>
              <w:right w:val="single" w:sz="4" w:space="0" w:color="auto"/>
            </w:tcBorders>
          </w:tcPr>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Fewer errors (handwriting)</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fulfillment → earlier treatment</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Avoidance of interactions</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Selection of lower cost equivalents</w:t>
            </w:r>
          </w:p>
          <w:p w:rsidR="006F7CED" w:rsidRPr="00B708D3" w:rsidRDefault="006F7CED"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Verification that patients are following protocols</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Improved outcomes (patients follow protocols)</w:t>
            </w:r>
          </w:p>
          <w:p w:rsidR="00C81681"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adverse events</w:t>
            </w:r>
          </w:p>
          <w:p w:rsidR="00C81681"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Lowered treatment costs </w:t>
            </w:r>
          </w:p>
        </w:tc>
      </w:tr>
      <w:tr w:rsidR="006F7CED" w:rsidRPr="00B708D3" w:rsidTr="006F7CED">
        <w:trPr>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125702">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6F7CED" w:rsidP="009B0C80">
            <w:pPr>
              <w:pStyle w:val="ListParagraph"/>
              <w:ind w:left="-18"/>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Decision support </w:t>
            </w:r>
          </w:p>
        </w:tc>
        <w:tc>
          <w:tcPr>
            <w:tcW w:w="2610" w:type="dxa"/>
            <w:tcBorders>
              <w:top w:val="single" w:sz="4" w:space="0" w:color="auto"/>
              <w:left w:val="single" w:sz="4" w:space="0" w:color="auto"/>
              <w:bottom w:val="single" w:sz="4" w:space="0" w:color="auto"/>
              <w:right w:val="single" w:sz="4" w:space="0" w:color="auto"/>
            </w:tcBorders>
          </w:tcPr>
          <w:p w:rsidR="00C81681"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screening rates</w:t>
            </w:r>
          </w:p>
          <w:p w:rsidR="006F7CED"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immunization</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Better treatment plans → faster recovery</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C81681" w:rsidP="006F7CED">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Earlier diagnosis </w:t>
            </w:r>
            <w:r w:rsidR="00A11C3B" w:rsidRPr="00B708D3">
              <w:rPr>
                <w:rStyle w:val="SubtleEmphasis"/>
                <w:rFonts w:ascii="Arial" w:hAnsi="Arial" w:cs="Arial"/>
                <w:i w:val="0"/>
                <w:iCs w:val="0"/>
                <w:color w:val="auto"/>
                <w:sz w:val="16"/>
                <w:szCs w:val="16"/>
              </w:rPr>
              <w:t>of disease</w:t>
            </w:r>
          </w:p>
          <w:p w:rsidR="006F7CED"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incidence of disease</w:t>
            </w:r>
          </w:p>
          <w:p w:rsidR="00C81681"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recover</w:t>
            </w:r>
            <w:r w:rsidR="00525E7E" w:rsidRPr="00B708D3">
              <w:rPr>
                <w:rStyle w:val="SubtleEmphasis"/>
                <w:rFonts w:ascii="Arial" w:hAnsi="Arial" w:cs="Arial"/>
                <w:i w:val="0"/>
                <w:iCs w:val="0"/>
                <w:color w:val="auto"/>
                <w:sz w:val="16"/>
                <w:szCs w:val="16"/>
              </w:rPr>
              <w:t>y</w:t>
            </w:r>
          </w:p>
          <w:p w:rsidR="00C81681" w:rsidRPr="00B708D3" w:rsidRDefault="00C81681"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loss from employment and education</w:t>
            </w:r>
          </w:p>
        </w:tc>
      </w:tr>
      <w:tr w:rsidR="006F7CED" w:rsidRPr="00B708D3" w:rsidTr="006F7CED">
        <w:trPr>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125702">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6F7CED" w:rsidP="009B0C80">
            <w:pPr>
              <w:pStyle w:val="ListParagraph"/>
              <w:ind w:left="-18"/>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Patient engagement </w:t>
            </w:r>
          </w:p>
        </w:tc>
        <w:tc>
          <w:tcPr>
            <w:tcW w:w="2610" w:type="dxa"/>
            <w:tcBorders>
              <w:top w:val="single" w:sz="4" w:space="0" w:color="auto"/>
              <w:left w:val="single" w:sz="4" w:space="0" w:color="auto"/>
              <w:bottom w:val="single" w:sz="4" w:space="0" w:color="auto"/>
              <w:right w:val="single" w:sz="4" w:space="0" w:color="auto"/>
            </w:tcBorders>
          </w:tcPr>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Patients adopt healthier lifestyles</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C81681"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incidence of disease</w:t>
            </w:r>
          </w:p>
          <w:p w:rsidR="002D7225" w:rsidRPr="00B708D3" w:rsidRDefault="002D7225"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Delayed onset of disease progression  (chronic conditions)</w:t>
            </w:r>
          </w:p>
          <w:p w:rsidR="002D7225" w:rsidRPr="00B708D3" w:rsidRDefault="002D7225"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immunization leading to lower incidence/consequences</w:t>
            </w:r>
          </w:p>
        </w:tc>
      </w:tr>
      <w:tr w:rsidR="006F7CED" w:rsidRPr="00B708D3" w:rsidTr="006F7CED">
        <w:trPr>
          <w:jc w:val="center"/>
        </w:trPr>
        <w:tc>
          <w:tcPr>
            <w:tcW w:w="432" w:type="dxa"/>
            <w:tcBorders>
              <w:top w:val="single" w:sz="4" w:space="0" w:color="auto"/>
              <w:left w:val="single" w:sz="4" w:space="0" w:color="auto"/>
              <w:bottom w:val="single" w:sz="4" w:space="0" w:color="auto"/>
              <w:right w:val="single" w:sz="4" w:space="0" w:color="auto"/>
            </w:tcBorders>
          </w:tcPr>
          <w:p w:rsidR="006F7CED" w:rsidRPr="00B708D3" w:rsidRDefault="006F7CED" w:rsidP="00D829CB">
            <w:pPr>
              <w:pStyle w:val="ListParagraph"/>
              <w:numPr>
                <w:ilvl w:val="0"/>
                <w:numId w:val="25"/>
              </w:numPr>
              <w:ind w:left="180" w:hanging="180"/>
              <w:rPr>
                <w:rStyle w:val="SubtleEmphasis"/>
                <w:rFonts w:ascii="Arial" w:hAnsi="Arial" w:cs="Arial"/>
                <w:i w:val="0"/>
                <w:iCs w:val="0"/>
                <w:color w:val="auto"/>
                <w:sz w:val="20"/>
              </w:rPr>
            </w:pPr>
          </w:p>
        </w:tc>
        <w:tc>
          <w:tcPr>
            <w:tcW w:w="2340" w:type="dxa"/>
            <w:tcBorders>
              <w:top w:val="single" w:sz="4" w:space="0" w:color="auto"/>
              <w:left w:val="single" w:sz="4" w:space="0" w:color="auto"/>
              <w:bottom w:val="single" w:sz="4" w:space="0" w:color="auto"/>
              <w:right w:val="single" w:sz="4" w:space="0" w:color="auto"/>
            </w:tcBorders>
          </w:tcPr>
          <w:p w:rsidR="006F7CED" w:rsidRPr="00B708D3" w:rsidRDefault="00525E7E" w:rsidP="009B0C80">
            <w:pPr>
              <w:pStyle w:val="ListParagraph"/>
              <w:ind w:left="-18"/>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Administration and p</w:t>
            </w:r>
            <w:r w:rsidR="006F7CED" w:rsidRPr="00B708D3">
              <w:rPr>
                <w:rStyle w:val="SubtleEmphasis"/>
                <w:rFonts w:ascii="Arial" w:hAnsi="Arial" w:cs="Arial"/>
                <w:b/>
                <w:i w:val="0"/>
                <w:iCs w:val="0"/>
                <w:color w:val="auto"/>
                <w:sz w:val="20"/>
              </w:rPr>
              <w:t xml:space="preserve">ractice management </w:t>
            </w:r>
          </w:p>
        </w:tc>
        <w:tc>
          <w:tcPr>
            <w:tcW w:w="2610" w:type="dxa"/>
            <w:tcBorders>
              <w:top w:val="single" w:sz="4" w:space="0" w:color="auto"/>
              <w:left w:val="single" w:sz="4" w:space="0" w:color="auto"/>
              <w:bottom w:val="single" w:sz="4" w:space="0" w:color="auto"/>
              <w:right w:val="single" w:sz="4" w:space="0" w:color="auto"/>
            </w:tcBorders>
          </w:tcPr>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Higher throughput of patients</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practice profitability </w:t>
            </w:r>
          </w:p>
          <w:p w:rsidR="006F7CED" w:rsidRPr="00B708D3" w:rsidRDefault="006F7CED" w:rsidP="00C81681">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Changed/better chronic disease management</w:t>
            </w:r>
          </w:p>
        </w:tc>
        <w:tc>
          <w:tcPr>
            <w:tcW w:w="2862" w:type="dxa"/>
            <w:tcBorders>
              <w:top w:val="single" w:sz="4" w:space="0" w:color="auto"/>
              <w:left w:val="single" w:sz="4" w:space="0" w:color="auto"/>
              <w:bottom w:val="single" w:sz="4" w:space="0" w:color="auto"/>
              <w:right w:val="single" w:sz="4" w:space="0" w:color="auto"/>
            </w:tcBorders>
          </w:tcPr>
          <w:p w:rsidR="006F7CED" w:rsidRPr="00B708D3" w:rsidRDefault="002D7225"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More patients screened, diagnosed</w:t>
            </w:r>
            <w:r w:rsidR="00525E7E" w:rsidRPr="00B708D3">
              <w:rPr>
                <w:rStyle w:val="SubtleEmphasis"/>
                <w:rFonts w:ascii="Arial" w:hAnsi="Arial" w:cs="Arial"/>
                <w:i w:val="0"/>
                <w:iCs w:val="0"/>
                <w:color w:val="auto"/>
                <w:sz w:val="16"/>
                <w:szCs w:val="16"/>
              </w:rPr>
              <w:t>,</w:t>
            </w:r>
            <w:r w:rsidRPr="00B708D3">
              <w:rPr>
                <w:rStyle w:val="SubtleEmphasis"/>
                <w:rFonts w:ascii="Arial" w:hAnsi="Arial" w:cs="Arial"/>
                <w:i w:val="0"/>
                <w:iCs w:val="0"/>
                <w:color w:val="auto"/>
                <w:sz w:val="16"/>
                <w:szCs w:val="16"/>
              </w:rPr>
              <w:t xml:space="preserve"> treated</w:t>
            </w:r>
          </w:p>
          <w:p w:rsidR="002D7225" w:rsidRPr="00B708D3" w:rsidRDefault="002D7225" w:rsidP="00D829CB">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compensation for staff</w:t>
            </w:r>
          </w:p>
          <w:p w:rsidR="002D7225" w:rsidRPr="00B708D3" w:rsidRDefault="002D7225" w:rsidP="00B708D3">
            <w:pPr>
              <w:pStyle w:val="ListParagraph"/>
              <w:numPr>
                <w:ilvl w:val="0"/>
                <w:numId w:val="8"/>
              </w:numPr>
              <w:ind w:left="162" w:hanging="180"/>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Delayed onset of disease progression </w:t>
            </w:r>
          </w:p>
        </w:tc>
      </w:tr>
      <w:tr w:rsidR="007E3D83" w:rsidRPr="00C24A77" w:rsidTr="009B0C80">
        <w:trPr>
          <w:jc w:val="center"/>
        </w:trPr>
        <w:tc>
          <w:tcPr>
            <w:tcW w:w="8244" w:type="dxa"/>
            <w:gridSpan w:val="4"/>
            <w:tcBorders>
              <w:top w:val="single" w:sz="4" w:space="0" w:color="auto"/>
              <w:left w:val="single" w:sz="4" w:space="0" w:color="auto"/>
              <w:bottom w:val="single" w:sz="4" w:space="0" w:color="auto"/>
              <w:right w:val="single" w:sz="4" w:space="0" w:color="auto"/>
            </w:tcBorders>
          </w:tcPr>
          <w:p w:rsidR="007E3D83" w:rsidRPr="003600F4" w:rsidRDefault="007E3D83"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Adapted from Price and Lau (2011)</w:t>
            </w:r>
          </w:p>
        </w:tc>
      </w:tr>
    </w:tbl>
    <w:p w:rsidR="007E3D83" w:rsidRDefault="007E3D83" w:rsidP="00086064"/>
    <w:p w:rsidR="00086064" w:rsidRPr="00265269" w:rsidRDefault="00D829CB" w:rsidP="00086064">
      <w:pPr>
        <w:rPr>
          <w:rStyle w:val="SubtleEmphasis"/>
          <w:rFonts w:ascii="Garamond" w:hAnsi="Garamond"/>
          <w:i w:val="0"/>
          <w:iCs w:val="0"/>
          <w:color w:val="auto"/>
        </w:rPr>
      </w:pPr>
      <w:r w:rsidRPr="00B708D3">
        <w:rPr>
          <w:rStyle w:val="SubtleEmphasis"/>
          <w:rFonts w:ascii="Garamond" w:hAnsi="Garamond"/>
          <w:i w:val="0"/>
          <w:iCs w:val="0"/>
          <w:color w:val="auto"/>
        </w:rPr>
        <w:t xml:space="preserve">The definition of immediate benefits poses measurement challenges.  For example, one possible outcome of HIT is more effective patient engagement, leading to </w:t>
      </w:r>
      <w:r w:rsidR="0041697C" w:rsidRPr="00B708D3">
        <w:rPr>
          <w:rStyle w:val="SubtleEmphasis"/>
          <w:rFonts w:ascii="Garamond" w:hAnsi="Garamond"/>
          <w:i w:val="0"/>
          <w:iCs w:val="0"/>
          <w:color w:val="auto"/>
        </w:rPr>
        <w:t>increased screening and immunization rates.  This will then lead to additional downstream benefits in the form of earlier diagnosis/treatment, reduced disease incidence (e.g.</w:t>
      </w:r>
      <w:r w:rsidR="00525E7E" w:rsidRPr="00B708D3">
        <w:rPr>
          <w:rStyle w:val="SubtleEmphasis"/>
          <w:rFonts w:ascii="Garamond" w:hAnsi="Garamond"/>
          <w:i w:val="0"/>
          <w:iCs w:val="0"/>
          <w:color w:val="auto"/>
        </w:rPr>
        <w:t>,</w:t>
      </w:r>
      <w:r w:rsidR="0041697C" w:rsidRPr="00B708D3">
        <w:rPr>
          <w:rStyle w:val="SubtleEmphasis"/>
          <w:rFonts w:ascii="Garamond" w:hAnsi="Garamond"/>
          <w:i w:val="0"/>
          <w:iCs w:val="0"/>
          <w:color w:val="auto"/>
        </w:rPr>
        <w:t xml:space="preserve"> flu), earlier treatment of serious</w:t>
      </w:r>
      <w:r w:rsidR="00A11C3B" w:rsidRPr="00B708D3">
        <w:rPr>
          <w:rStyle w:val="SubtleEmphasis"/>
          <w:rFonts w:ascii="Garamond" w:hAnsi="Garamond"/>
          <w:i w:val="0"/>
          <w:iCs w:val="0"/>
          <w:color w:val="auto"/>
        </w:rPr>
        <w:t xml:space="preserve"> illnesses</w:t>
      </w:r>
      <w:r w:rsidR="006F52C5" w:rsidRPr="00B708D3">
        <w:rPr>
          <w:rStyle w:val="SubtleEmphasis"/>
          <w:rFonts w:ascii="Garamond" w:hAnsi="Garamond"/>
          <w:i w:val="0"/>
          <w:iCs w:val="0"/>
          <w:color w:val="auto"/>
        </w:rPr>
        <w:t>,</w:t>
      </w:r>
      <w:r w:rsidR="0041697C" w:rsidRPr="00B708D3">
        <w:rPr>
          <w:rStyle w:val="SubtleEmphasis"/>
          <w:rFonts w:ascii="Garamond" w:hAnsi="Garamond"/>
          <w:i w:val="0"/>
          <w:iCs w:val="0"/>
          <w:color w:val="auto"/>
        </w:rPr>
        <w:t xml:space="preserve"> and delayed co-morbidities for chronic diseases.  The critical point is that the increased screening and immunization rates need to be linked directly to the HIT.  Since many influences exist to raise screening rates (media campaigns, the health literature</w:t>
      </w:r>
      <w:r w:rsidR="00502902" w:rsidRPr="00B708D3">
        <w:rPr>
          <w:rStyle w:val="SubtleEmphasis"/>
          <w:rFonts w:ascii="Garamond" w:hAnsi="Garamond"/>
          <w:i w:val="0"/>
          <w:iCs w:val="0"/>
          <w:color w:val="auto"/>
        </w:rPr>
        <w:t>,</w:t>
      </w:r>
      <w:r w:rsidR="0041697C" w:rsidRPr="00B708D3">
        <w:rPr>
          <w:rStyle w:val="SubtleEmphasis"/>
          <w:rFonts w:ascii="Garamond" w:hAnsi="Garamond"/>
          <w:i w:val="0"/>
          <w:iCs w:val="0"/>
          <w:color w:val="auto"/>
        </w:rPr>
        <w:t xml:space="preserve"> and peer influence</w:t>
      </w:r>
      <w:r w:rsidR="00012D96" w:rsidRPr="00B708D3">
        <w:rPr>
          <w:rStyle w:val="SubtleEmphasis"/>
          <w:rFonts w:ascii="Garamond" w:hAnsi="Garamond"/>
          <w:i w:val="0"/>
          <w:iCs w:val="0"/>
          <w:color w:val="auto"/>
        </w:rPr>
        <w:t>)</w:t>
      </w:r>
      <w:r w:rsidR="0041697C" w:rsidRPr="00B708D3">
        <w:rPr>
          <w:rStyle w:val="SubtleEmphasis"/>
          <w:rFonts w:ascii="Garamond" w:hAnsi="Garamond"/>
          <w:i w:val="0"/>
          <w:iCs w:val="0"/>
          <w:color w:val="auto"/>
        </w:rPr>
        <w:t>, measuring the independent effect of HIT on sc</w:t>
      </w:r>
      <w:r w:rsidR="006F52C5" w:rsidRPr="00B708D3">
        <w:rPr>
          <w:rStyle w:val="SubtleEmphasis"/>
          <w:rFonts w:ascii="Garamond" w:hAnsi="Garamond"/>
          <w:i w:val="0"/>
          <w:iCs w:val="0"/>
          <w:color w:val="auto"/>
        </w:rPr>
        <w:t xml:space="preserve">reening and immunization rates </w:t>
      </w:r>
      <w:r w:rsidR="00012D96" w:rsidRPr="00B708D3">
        <w:rPr>
          <w:rStyle w:val="SubtleEmphasis"/>
          <w:rFonts w:ascii="Garamond" w:hAnsi="Garamond"/>
          <w:i w:val="0"/>
          <w:iCs w:val="0"/>
          <w:color w:val="auto"/>
        </w:rPr>
        <w:t>from these other influences becomes the central evaluation issue</w:t>
      </w:r>
    </w:p>
    <w:p w:rsidR="00012D96" w:rsidRPr="00265269" w:rsidRDefault="00012D96" w:rsidP="00086064">
      <w:pPr>
        <w:rPr>
          <w:rStyle w:val="SubtleEmphasis"/>
          <w:rFonts w:ascii="Garamond" w:hAnsi="Garamond"/>
          <w:i w:val="0"/>
          <w:iCs w:val="0"/>
          <w:color w:val="auto"/>
        </w:rPr>
      </w:pPr>
    </w:p>
    <w:p w:rsidR="00D829CB" w:rsidRPr="00265269" w:rsidRDefault="00D829CB" w:rsidP="00086064">
      <w:pPr>
        <w:rPr>
          <w:rStyle w:val="SubtleEmphasis"/>
          <w:rFonts w:ascii="Garamond" w:hAnsi="Garamond"/>
          <w:i w:val="0"/>
          <w:iCs w:val="0"/>
          <w:color w:val="auto"/>
        </w:rPr>
      </w:pPr>
    </w:p>
    <w:p w:rsidR="00B708D3" w:rsidRDefault="00B708D3">
      <w:pPr>
        <w:spacing w:after="200" w:line="276" w:lineRule="auto"/>
        <w:rPr>
          <w:rStyle w:val="SubtleEmphasis"/>
          <w:rFonts w:ascii="Garamond" w:eastAsiaTheme="majorEastAsia" w:hAnsi="Garamond" w:cstheme="majorBidi"/>
          <w:b/>
          <w:bCs/>
          <w:i w:val="0"/>
          <w:iCs w:val="0"/>
          <w:color w:val="auto"/>
          <w:szCs w:val="28"/>
        </w:rPr>
      </w:pPr>
      <w:bookmarkStart w:id="0" w:name="_Toc302565036"/>
      <w:r>
        <w:rPr>
          <w:rStyle w:val="SubtleEmphasis"/>
          <w:rFonts w:ascii="Garamond" w:hAnsi="Garamond"/>
          <w:i w:val="0"/>
          <w:iCs w:val="0"/>
          <w:color w:val="auto"/>
        </w:rPr>
        <w:br w:type="page"/>
      </w:r>
    </w:p>
    <w:p w:rsidR="00086064" w:rsidRPr="00265269" w:rsidRDefault="00086064" w:rsidP="00D829CB">
      <w:pPr>
        <w:pStyle w:val="Heading1"/>
        <w:numPr>
          <w:ilvl w:val="0"/>
          <w:numId w:val="0"/>
        </w:numPr>
        <w:spacing w:after="240"/>
        <w:rPr>
          <w:rStyle w:val="SubtleEmphasis"/>
          <w:rFonts w:ascii="Garamond" w:hAnsi="Garamond"/>
          <w:i w:val="0"/>
          <w:iCs w:val="0"/>
          <w:color w:val="auto"/>
        </w:rPr>
      </w:pPr>
      <w:r w:rsidRPr="00265269">
        <w:rPr>
          <w:rStyle w:val="SubtleEmphasis"/>
          <w:rFonts w:ascii="Garamond" w:hAnsi="Garamond"/>
          <w:i w:val="0"/>
          <w:iCs w:val="0"/>
          <w:color w:val="auto"/>
        </w:rPr>
        <w:t>Toward a causal logic model of EMR benefit</w:t>
      </w:r>
      <w:bookmarkEnd w:id="0"/>
    </w:p>
    <w:p w:rsidR="00086064" w:rsidRPr="00265269" w:rsidRDefault="00012D96" w:rsidP="00086064">
      <w:pPr>
        <w:rPr>
          <w:rFonts w:ascii="Garamond" w:hAnsi="Garamond"/>
        </w:rPr>
      </w:pPr>
      <w:r w:rsidRPr="00B708D3">
        <w:rPr>
          <w:rFonts w:ascii="Garamond" w:hAnsi="Garamond"/>
        </w:rPr>
        <w:t xml:space="preserve">The basic evaluation building block is </w:t>
      </w:r>
      <w:r w:rsidR="00177A35" w:rsidRPr="00B708D3">
        <w:rPr>
          <w:rFonts w:ascii="Garamond" w:hAnsi="Garamond"/>
        </w:rPr>
        <w:t>the results chain that shows the translation of inputs (HIT) into outputs (increased information) to immediate and intermediate outcomes. In principle</w:t>
      </w:r>
      <w:r w:rsidR="00502902" w:rsidRPr="00B708D3">
        <w:rPr>
          <w:rFonts w:ascii="Garamond" w:hAnsi="Garamond"/>
        </w:rPr>
        <w:t>, each attribute</w:t>
      </w:r>
      <w:r w:rsidR="00177A35" w:rsidRPr="00B708D3">
        <w:rPr>
          <w:rFonts w:ascii="Garamond" w:hAnsi="Garamond"/>
        </w:rPr>
        <w:t xml:space="preserve"> supports a results chain</w:t>
      </w:r>
      <w:r w:rsidR="00502902" w:rsidRPr="00B708D3">
        <w:rPr>
          <w:rFonts w:ascii="Garamond" w:hAnsi="Garamond"/>
        </w:rPr>
        <w:t>,</w:t>
      </w:r>
      <w:r w:rsidR="00177A35" w:rsidRPr="00B708D3">
        <w:rPr>
          <w:rFonts w:ascii="Garamond" w:hAnsi="Garamond"/>
        </w:rPr>
        <w:t xml:space="preserve"> as shown in </w:t>
      </w:r>
      <w:r w:rsidR="00286C49" w:rsidRPr="00B708D3">
        <w:rPr>
          <w:rFonts w:ascii="Garamond" w:hAnsi="Garamond"/>
        </w:rPr>
        <w:t>F</w:t>
      </w:r>
      <w:r w:rsidR="00177A35" w:rsidRPr="00B708D3">
        <w:rPr>
          <w:rFonts w:ascii="Garamond" w:hAnsi="Garamond"/>
        </w:rPr>
        <w:t>igure 1.</w:t>
      </w:r>
      <w:r w:rsidR="00286C49" w:rsidRPr="00B708D3">
        <w:rPr>
          <w:rFonts w:ascii="Garamond" w:hAnsi="Garamond"/>
        </w:rPr>
        <w:t xml:space="preserve">  The four essential conditions for an evaluation logic model</w:t>
      </w:r>
      <w:r w:rsidR="00EA1AB8" w:rsidRPr="00B708D3">
        <w:rPr>
          <w:rFonts w:ascii="Garamond" w:hAnsi="Garamond"/>
        </w:rPr>
        <w:t xml:space="preserve"> are: </w:t>
      </w:r>
      <w:r w:rsidR="00286C49" w:rsidRPr="00B708D3">
        <w:rPr>
          <w:rFonts w:ascii="Garamond" w:hAnsi="Garamond"/>
        </w:rPr>
        <w:t xml:space="preserve"> inputs → activities → outputs →</w:t>
      </w:r>
      <w:r w:rsidR="006F52C5" w:rsidRPr="00B708D3">
        <w:rPr>
          <w:rFonts w:ascii="Garamond" w:hAnsi="Garamond"/>
        </w:rPr>
        <w:t xml:space="preserve"> </w:t>
      </w:r>
      <w:r w:rsidR="00286C49" w:rsidRPr="00B708D3">
        <w:rPr>
          <w:rFonts w:ascii="Garamond" w:hAnsi="Garamond"/>
        </w:rPr>
        <w:t>outcomes</w:t>
      </w:r>
      <w:r w:rsidR="00EA1AB8" w:rsidRPr="00B708D3">
        <w:rPr>
          <w:rFonts w:ascii="Garamond" w:hAnsi="Garamond"/>
        </w:rPr>
        <w:t xml:space="preserve"> (Frechtling, 2007)</w:t>
      </w:r>
      <w:r w:rsidR="00286C49" w:rsidRPr="00B708D3">
        <w:rPr>
          <w:rFonts w:ascii="Garamond" w:hAnsi="Garamond"/>
        </w:rPr>
        <w:t>.  For expository simplicity</w:t>
      </w:r>
      <w:r w:rsidR="00502902" w:rsidRPr="00B708D3">
        <w:rPr>
          <w:rFonts w:ascii="Garamond" w:hAnsi="Garamond"/>
        </w:rPr>
        <w:t>,</w:t>
      </w:r>
      <w:r w:rsidR="00286C49" w:rsidRPr="00B708D3">
        <w:rPr>
          <w:rFonts w:ascii="Garamond" w:hAnsi="Garamond"/>
        </w:rPr>
        <w:t xml:space="preserve"> we have collapsed inputs and activities into a single step.</w:t>
      </w:r>
    </w:p>
    <w:p w:rsidR="00177A35" w:rsidRPr="00265269" w:rsidRDefault="00177A35" w:rsidP="00086064">
      <w:pPr>
        <w:rPr>
          <w:rFonts w:ascii="Garamond" w:hAnsi="Garamond"/>
        </w:rPr>
      </w:pPr>
    </w:p>
    <w:p w:rsidR="00177A35" w:rsidRPr="00265269" w:rsidRDefault="00177A35" w:rsidP="00086064">
      <w:pPr>
        <w:rPr>
          <w:rFonts w:ascii="Garamond" w:hAnsi="Garamond"/>
        </w:rPr>
      </w:pPr>
    </w:p>
    <w:p w:rsidR="00177A35" w:rsidRDefault="00177A35" w:rsidP="00086064"/>
    <w:p w:rsidR="00177A35" w:rsidRDefault="00177A35" w:rsidP="00086064"/>
    <w:p w:rsidR="00177A35" w:rsidRDefault="00EB1DA0" w:rsidP="00086064">
      <w:r>
        <w:rPr>
          <w:noProof/>
          <w:lang w:eastAsia="en-CA"/>
        </w:rPr>
        <w:drawing>
          <wp:inline distT="0" distB="0" distL="0" distR="0">
            <wp:extent cx="5943600" cy="1315720"/>
            <wp:effectExtent l="0" t="0" r="0" b="0"/>
            <wp:docPr id="1" name="Picture 0" descr="results cha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chain.emf"/>
                    <pic:cNvPicPr/>
                  </pic:nvPicPr>
                  <pic:blipFill>
                    <a:blip r:embed="rId8" cstate="print"/>
                    <a:stretch>
                      <a:fillRect/>
                    </a:stretch>
                  </pic:blipFill>
                  <pic:spPr>
                    <a:xfrm>
                      <a:off x="0" y="0"/>
                      <a:ext cx="5943600" cy="1315720"/>
                    </a:xfrm>
                    <a:prstGeom prst="rect">
                      <a:avLst/>
                    </a:prstGeom>
                  </pic:spPr>
                </pic:pic>
              </a:graphicData>
            </a:graphic>
          </wp:inline>
        </w:drawing>
      </w:r>
    </w:p>
    <w:p w:rsidR="00177A35" w:rsidRDefault="00177A35" w:rsidP="00086064"/>
    <w:p w:rsidR="00177A35" w:rsidRDefault="00177A35" w:rsidP="00086064"/>
    <w:p w:rsidR="00177A35" w:rsidRDefault="00EB1DA0" w:rsidP="00EB1DA0">
      <w:pPr>
        <w:jc w:val="center"/>
        <w:rPr>
          <w:b/>
        </w:rPr>
      </w:pPr>
      <w:r w:rsidRPr="00EB1DA0">
        <w:rPr>
          <w:b/>
        </w:rPr>
        <w:t>Figure 1: Results chain for Attribute 1</w:t>
      </w:r>
    </w:p>
    <w:p w:rsidR="000E254A" w:rsidRDefault="000E254A" w:rsidP="00EB1DA0">
      <w:pPr>
        <w:jc w:val="center"/>
        <w:rPr>
          <w:b/>
        </w:rPr>
      </w:pPr>
    </w:p>
    <w:p w:rsidR="000E254A" w:rsidRDefault="000E254A" w:rsidP="000E254A"/>
    <w:p w:rsidR="005D308E" w:rsidRPr="00B708D3" w:rsidRDefault="005D308E" w:rsidP="00E50B5B">
      <w:pPr>
        <w:rPr>
          <w:rFonts w:ascii="Garamond" w:hAnsi="Garamond"/>
        </w:rPr>
      </w:pPr>
      <w:r w:rsidRPr="00B708D3">
        <w:rPr>
          <w:rFonts w:ascii="Garamond" w:hAnsi="Garamond"/>
        </w:rPr>
        <w:t xml:space="preserve">Collecting </w:t>
      </w:r>
      <w:r w:rsidR="00A11C3B" w:rsidRPr="00B708D3">
        <w:rPr>
          <w:rFonts w:ascii="Garamond" w:hAnsi="Garamond"/>
        </w:rPr>
        <w:t xml:space="preserve">each of </w:t>
      </w:r>
      <w:r w:rsidRPr="00B708D3">
        <w:rPr>
          <w:rFonts w:ascii="Garamond" w:hAnsi="Garamond"/>
        </w:rPr>
        <w:t>the results</w:t>
      </w:r>
      <w:r w:rsidR="00A11C3B" w:rsidRPr="00B708D3">
        <w:rPr>
          <w:rFonts w:ascii="Garamond" w:hAnsi="Garamond"/>
        </w:rPr>
        <w:t xml:space="preserve"> chains</w:t>
      </w:r>
      <w:r w:rsidRPr="00B708D3">
        <w:rPr>
          <w:rFonts w:ascii="Garamond" w:hAnsi="Garamond"/>
        </w:rPr>
        <w:t xml:space="preserve"> supports </w:t>
      </w:r>
      <w:r w:rsidR="000E254A" w:rsidRPr="00B708D3">
        <w:rPr>
          <w:rFonts w:ascii="Garamond" w:hAnsi="Garamond"/>
        </w:rPr>
        <w:t xml:space="preserve">a general </w:t>
      </w:r>
      <w:r w:rsidRPr="00B708D3">
        <w:rPr>
          <w:rFonts w:ascii="Garamond" w:hAnsi="Garamond"/>
        </w:rPr>
        <w:t xml:space="preserve">benefit evaluation </w:t>
      </w:r>
      <w:r w:rsidR="000E254A" w:rsidRPr="00B708D3">
        <w:rPr>
          <w:rFonts w:ascii="Garamond" w:hAnsi="Garamond"/>
        </w:rPr>
        <w:t>f</w:t>
      </w:r>
      <w:r w:rsidR="00E50B5B" w:rsidRPr="00B708D3">
        <w:rPr>
          <w:rFonts w:ascii="Garamond" w:hAnsi="Garamond"/>
        </w:rPr>
        <w:t xml:space="preserve">ramework for </w:t>
      </w:r>
      <w:r w:rsidR="00A11C3B" w:rsidRPr="00B708D3">
        <w:rPr>
          <w:rFonts w:ascii="Garamond" w:hAnsi="Garamond"/>
        </w:rPr>
        <w:t xml:space="preserve">HIT, as appears </w:t>
      </w:r>
      <w:r w:rsidR="00E50B5B" w:rsidRPr="00B708D3">
        <w:rPr>
          <w:rFonts w:ascii="Garamond" w:hAnsi="Garamond"/>
        </w:rPr>
        <w:t>in Figure 2. The arrows at the left are associated with six selected attributes. Many possible behavioural changes emerge from each attribute, but for the moment</w:t>
      </w:r>
      <w:r w:rsidR="00502902" w:rsidRPr="00B708D3">
        <w:rPr>
          <w:rFonts w:ascii="Garamond" w:hAnsi="Garamond"/>
        </w:rPr>
        <w:t>,</w:t>
      </w:r>
      <w:r w:rsidR="00E50B5B" w:rsidRPr="00B708D3">
        <w:rPr>
          <w:rFonts w:ascii="Garamond" w:hAnsi="Garamond"/>
        </w:rPr>
        <w:t xml:space="preserve"> focus on only one</w:t>
      </w:r>
      <w:r w:rsidRPr="00B708D3">
        <w:rPr>
          <w:rFonts w:ascii="Garamond" w:hAnsi="Garamond"/>
        </w:rPr>
        <w:t>.  Likewise, assume that only a single immediate outcome results from the behaviour change</w:t>
      </w:r>
      <w:r w:rsidR="00E50B5B" w:rsidRPr="00B708D3">
        <w:rPr>
          <w:rFonts w:ascii="Garamond" w:hAnsi="Garamond"/>
        </w:rPr>
        <w:t>.  Benefit evaluation of H</w:t>
      </w:r>
      <w:r w:rsidRPr="00B708D3">
        <w:rPr>
          <w:rFonts w:ascii="Garamond" w:hAnsi="Garamond"/>
        </w:rPr>
        <w:t xml:space="preserve">IT </w:t>
      </w:r>
      <w:r w:rsidR="00E50B5B" w:rsidRPr="00B708D3">
        <w:rPr>
          <w:rFonts w:ascii="Garamond" w:hAnsi="Garamond"/>
        </w:rPr>
        <w:t xml:space="preserve">requires </w:t>
      </w:r>
      <w:r w:rsidRPr="00B708D3">
        <w:rPr>
          <w:rFonts w:ascii="Garamond" w:hAnsi="Garamond"/>
        </w:rPr>
        <w:t>two steps</w:t>
      </w:r>
      <w:r w:rsidR="00502902" w:rsidRPr="00B708D3">
        <w:rPr>
          <w:rFonts w:ascii="Garamond" w:hAnsi="Garamond"/>
        </w:rPr>
        <w:t>:</w:t>
      </w:r>
    </w:p>
    <w:p w:rsidR="005D308E" w:rsidRPr="00B708D3" w:rsidRDefault="005D308E" w:rsidP="00E50B5B">
      <w:pPr>
        <w:rPr>
          <w:rFonts w:ascii="Garamond" w:hAnsi="Garamond"/>
        </w:rPr>
      </w:pPr>
    </w:p>
    <w:p w:rsidR="005D308E" w:rsidRPr="00B708D3" w:rsidRDefault="005D308E" w:rsidP="005D308E">
      <w:pPr>
        <w:pStyle w:val="ListParagraph"/>
        <w:numPr>
          <w:ilvl w:val="0"/>
          <w:numId w:val="27"/>
        </w:numPr>
        <w:rPr>
          <w:rFonts w:ascii="Garamond" w:hAnsi="Garamond"/>
        </w:rPr>
      </w:pPr>
      <w:r w:rsidRPr="00B708D3">
        <w:rPr>
          <w:rFonts w:ascii="Garamond" w:hAnsi="Garamond"/>
        </w:rPr>
        <w:t>The</w:t>
      </w:r>
      <w:r w:rsidR="00E50B5B" w:rsidRPr="00B708D3">
        <w:rPr>
          <w:rFonts w:ascii="Garamond" w:hAnsi="Garamond"/>
        </w:rPr>
        <w:t xml:space="preserve"> behavioural changes </w:t>
      </w:r>
      <w:r w:rsidRPr="00B708D3">
        <w:rPr>
          <w:rFonts w:ascii="Garamond" w:hAnsi="Garamond"/>
        </w:rPr>
        <w:t>must be shown to flow from the attribute and not other internal or external factors</w:t>
      </w:r>
      <w:r w:rsidR="00502902" w:rsidRPr="00B708D3">
        <w:rPr>
          <w:rFonts w:ascii="Garamond" w:hAnsi="Garamond"/>
        </w:rPr>
        <w:t>.</w:t>
      </w:r>
    </w:p>
    <w:p w:rsidR="005D308E" w:rsidRPr="00B708D3" w:rsidRDefault="005D308E" w:rsidP="005D308E">
      <w:pPr>
        <w:pStyle w:val="ListParagraph"/>
        <w:numPr>
          <w:ilvl w:val="0"/>
          <w:numId w:val="27"/>
        </w:numPr>
        <w:rPr>
          <w:rFonts w:ascii="Garamond" w:hAnsi="Garamond"/>
        </w:rPr>
      </w:pPr>
      <w:r w:rsidRPr="00B708D3">
        <w:rPr>
          <w:rFonts w:ascii="Garamond" w:hAnsi="Garamond"/>
        </w:rPr>
        <w:t>In a similar vein, the immediate outcomes must be a</w:t>
      </w:r>
      <w:r w:rsidR="00502902" w:rsidRPr="00B708D3">
        <w:rPr>
          <w:rFonts w:ascii="Garamond" w:hAnsi="Garamond"/>
        </w:rPr>
        <w:t xml:space="preserve"> unique result of the attribute-</w:t>
      </w:r>
      <w:r w:rsidRPr="00B708D3">
        <w:rPr>
          <w:rFonts w:ascii="Garamond" w:hAnsi="Garamond"/>
        </w:rPr>
        <w:t>induced behavioural change.</w:t>
      </w:r>
    </w:p>
    <w:p w:rsidR="00E50B5B" w:rsidRPr="00B708D3" w:rsidRDefault="00E50B5B" w:rsidP="00E50B5B">
      <w:pPr>
        <w:rPr>
          <w:rFonts w:ascii="Garamond" w:hAnsi="Garamond"/>
        </w:rPr>
      </w:pPr>
    </w:p>
    <w:p w:rsidR="00FC4B32" w:rsidRPr="00B708D3" w:rsidRDefault="00502902" w:rsidP="000A6065">
      <w:pPr>
        <w:rPr>
          <w:rFonts w:ascii="Garamond" w:hAnsi="Garamond"/>
        </w:rPr>
      </w:pPr>
      <w:r w:rsidRPr="00B708D3">
        <w:rPr>
          <w:rFonts w:ascii="Garamond" w:hAnsi="Garamond"/>
        </w:rPr>
        <w:t>A</w:t>
      </w:r>
      <w:r w:rsidR="005D308E" w:rsidRPr="00B708D3">
        <w:rPr>
          <w:rFonts w:ascii="Garamond" w:hAnsi="Garamond"/>
        </w:rPr>
        <w:t xml:space="preserve"> feature of immediate outcomes is that their existence depends largely on the nature of the intervention.  If one needs to qualify whether an outcome logically </w:t>
      </w:r>
      <w:r w:rsidR="00FC4B32" w:rsidRPr="00B708D3">
        <w:rPr>
          <w:rFonts w:ascii="Garamond" w:hAnsi="Garamond"/>
        </w:rPr>
        <w:t xml:space="preserve">and uniquely </w:t>
      </w:r>
      <w:r w:rsidR="005D308E" w:rsidRPr="00B708D3">
        <w:rPr>
          <w:rFonts w:ascii="Garamond" w:hAnsi="Garamond"/>
        </w:rPr>
        <w:t>depends on the outputs (here the behaviour change)</w:t>
      </w:r>
      <w:r w:rsidR="00FC4B32" w:rsidRPr="00B708D3">
        <w:rPr>
          <w:rFonts w:ascii="Garamond" w:hAnsi="Garamond"/>
        </w:rPr>
        <w:t>, then the connection between output and outcomes needs to be drawn tighter.</w:t>
      </w:r>
      <w:r w:rsidR="000A6065" w:rsidRPr="00B708D3">
        <w:rPr>
          <w:rFonts w:ascii="Garamond" w:hAnsi="Garamond"/>
        </w:rPr>
        <w:t xml:space="preserve">  </w:t>
      </w:r>
    </w:p>
    <w:p w:rsidR="00F93FDA" w:rsidRPr="00B708D3" w:rsidRDefault="00F93FDA" w:rsidP="000A6065">
      <w:pPr>
        <w:rPr>
          <w:rFonts w:ascii="Garamond" w:hAnsi="Garamond"/>
        </w:rPr>
      </w:pPr>
    </w:p>
    <w:p w:rsidR="000A6065" w:rsidRPr="00B708D3" w:rsidRDefault="000A6065" w:rsidP="000A6065">
      <w:pPr>
        <w:rPr>
          <w:rFonts w:ascii="Garamond" w:hAnsi="Garamond"/>
        </w:rPr>
      </w:pPr>
      <w:r w:rsidRPr="00B708D3">
        <w:rPr>
          <w:rFonts w:ascii="Garamond" w:hAnsi="Garamond"/>
        </w:rPr>
        <w:t xml:space="preserve">The importance of measuring the immediate outcomes </w:t>
      </w:r>
      <w:r w:rsidR="00502902" w:rsidRPr="00B708D3">
        <w:rPr>
          <w:rFonts w:ascii="Garamond" w:hAnsi="Garamond"/>
        </w:rPr>
        <w:t>for each attribute</w:t>
      </w:r>
      <w:r w:rsidR="00FC4B32" w:rsidRPr="00B708D3">
        <w:rPr>
          <w:rFonts w:ascii="Garamond" w:hAnsi="Garamond"/>
        </w:rPr>
        <w:t xml:space="preserve"> and</w:t>
      </w:r>
      <w:r w:rsidRPr="00B708D3">
        <w:rPr>
          <w:rFonts w:ascii="Garamond" w:hAnsi="Garamond"/>
        </w:rPr>
        <w:t xml:space="preserve"> creati</w:t>
      </w:r>
      <w:r w:rsidR="00FC4B32" w:rsidRPr="00B708D3">
        <w:rPr>
          <w:rFonts w:ascii="Garamond" w:hAnsi="Garamond"/>
        </w:rPr>
        <w:t xml:space="preserve">ng </w:t>
      </w:r>
      <w:r w:rsidRPr="00B708D3">
        <w:rPr>
          <w:rFonts w:ascii="Garamond" w:hAnsi="Garamond"/>
        </w:rPr>
        <w:t>a counterfactual framework that tests whether outcomes can be linked to the outputs produced by HIT cannot be overstated. Section 3 addresses this in more detail.</w:t>
      </w:r>
    </w:p>
    <w:p w:rsidR="00E50B5B" w:rsidRPr="00B708D3" w:rsidRDefault="00E50B5B" w:rsidP="000E254A">
      <w:pPr>
        <w:rPr>
          <w:rFonts w:ascii="Garamond" w:hAnsi="Garamond"/>
        </w:rPr>
      </w:pPr>
    </w:p>
    <w:p w:rsidR="00E50B5B" w:rsidRPr="00265269" w:rsidRDefault="00FC4B32" w:rsidP="000E254A">
      <w:pPr>
        <w:rPr>
          <w:rFonts w:ascii="Garamond" w:hAnsi="Garamond"/>
        </w:rPr>
      </w:pPr>
      <w:r w:rsidRPr="00B708D3">
        <w:rPr>
          <w:rFonts w:ascii="Garamond" w:hAnsi="Garamond"/>
        </w:rPr>
        <w:t>Figure 2 shows just one selected behavioural change for each attribute.  Typically</w:t>
      </w:r>
      <w:r w:rsidR="00502902" w:rsidRPr="00B708D3">
        <w:rPr>
          <w:rFonts w:ascii="Garamond" w:hAnsi="Garamond"/>
        </w:rPr>
        <w:t>,</w:t>
      </w:r>
      <w:r w:rsidRPr="00B708D3">
        <w:rPr>
          <w:rFonts w:ascii="Garamond" w:hAnsi="Garamond"/>
        </w:rPr>
        <w:t xml:space="preserve"> attributes and the </w:t>
      </w:r>
      <w:r w:rsidR="00F40C64" w:rsidRPr="00B708D3">
        <w:rPr>
          <w:rFonts w:ascii="Garamond" w:hAnsi="Garamond"/>
        </w:rPr>
        <w:t>attendant hardware</w:t>
      </w:r>
      <w:r w:rsidRPr="00B708D3">
        <w:rPr>
          <w:rFonts w:ascii="Garamond" w:hAnsi="Garamond"/>
        </w:rPr>
        <w:t>/software features, as well as practice modalities on how the HIT is actually implemented</w:t>
      </w:r>
      <w:r w:rsidR="00502902" w:rsidRPr="00B708D3">
        <w:rPr>
          <w:rFonts w:ascii="Garamond" w:hAnsi="Garamond"/>
        </w:rPr>
        <w:t>,</w:t>
      </w:r>
      <w:r w:rsidRPr="00B708D3">
        <w:rPr>
          <w:rFonts w:ascii="Garamond" w:hAnsi="Garamond"/>
        </w:rPr>
        <w:t xml:space="preserve"> could result in each attribute producing a range of behaviour changes on the part of providers and </w:t>
      </w:r>
      <w:r w:rsidR="00F93FDA" w:rsidRPr="00B708D3">
        <w:rPr>
          <w:rFonts w:ascii="Garamond" w:hAnsi="Garamond"/>
        </w:rPr>
        <w:t>patients.</w:t>
      </w:r>
    </w:p>
    <w:p w:rsidR="00F93FDA" w:rsidRPr="00265269" w:rsidRDefault="00F93FDA" w:rsidP="000E254A">
      <w:pPr>
        <w:rPr>
          <w:rFonts w:ascii="Garamond" w:hAnsi="Garamond"/>
        </w:rPr>
      </w:pPr>
    </w:p>
    <w:p w:rsidR="00E50B5B" w:rsidRPr="00265269" w:rsidRDefault="00502902" w:rsidP="000E254A">
      <w:pPr>
        <w:rPr>
          <w:rFonts w:ascii="Garamond" w:hAnsi="Garamond"/>
        </w:rPr>
      </w:pPr>
      <w:r w:rsidRPr="00B708D3">
        <w:rPr>
          <w:rFonts w:ascii="Garamond" w:hAnsi="Garamond"/>
        </w:rPr>
        <w:t>Using A</w:t>
      </w:r>
      <w:r w:rsidR="00F93FDA" w:rsidRPr="00B708D3">
        <w:rPr>
          <w:rFonts w:ascii="Garamond" w:hAnsi="Garamond"/>
        </w:rPr>
        <w:t>ttribute 1 again, the results chain show</w:t>
      </w:r>
      <w:r w:rsidRPr="00B708D3">
        <w:rPr>
          <w:rFonts w:ascii="Garamond" w:hAnsi="Garamond"/>
        </w:rPr>
        <w:t>n</w:t>
      </w:r>
      <w:r w:rsidR="00F93FDA" w:rsidRPr="00B708D3">
        <w:rPr>
          <w:rFonts w:ascii="Garamond" w:hAnsi="Garamond"/>
        </w:rPr>
        <w:t xml:space="preserve"> in Figure 1 becomes the upper arm of the full benefit evaluation logic model.  For the most part, by restricting the results chain to a single behavioural response, a single immediate outcome</w:t>
      </w:r>
      <w:r w:rsidR="00286C49" w:rsidRPr="00B708D3">
        <w:rPr>
          <w:rFonts w:ascii="Garamond" w:hAnsi="Garamond"/>
        </w:rPr>
        <w:t xml:space="preserve"> may be identified. I</w:t>
      </w:r>
      <w:r w:rsidR="00F93FDA" w:rsidRPr="00B708D3">
        <w:rPr>
          <w:rFonts w:ascii="Garamond" w:hAnsi="Garamond"/>
        </w:rPr>
        <w:t xml:space="preserve">t is possible to imagine that a behavioural response could </w:t>
      </w:r>
      <w:r w:rsidRPr="00B708D3">
        <w:rPr>
          <w:rFonts w:ascii="Garamond" w:hAnsi="Garamond"/>
        </w:rPr>
        <w:t>produce more than</w:t>
      </w:r>
      <w:r w:rsidR="00286C49" w:rsidRPr="00B708D3">
        <w:rPr>
          <w:rFonts w:ascii="Garamond" w:hAnsi="Garamond"/>
        </w:rPr>
        <w:t xml:space="preserve"> one immediate outcome</w:t>
      </w:r>
      <w:r w:rsidRPr="00B708D3">
        <w:rPr>
          <w:rFonts w:ascii="Garamond" w:hAnsi="Garamond"/>
        </w:rPr>
        <w:t>,</w:t>
      </w:r>
      <w:r w:rsidR="00286C49" w:rsidRPr="00B708D3">
        <w:rPr>
          <w:rFonts w:ascii="Garamond" w:hAnsi="Garamond"/>
        </w:rPr>
        <w:t xml:space="preserve"> as shown in </w:t>
      </w:r>
      <w:r w:rsidR="00F40C64" w:rsidRPr="00B708D3">
        <w:rPr>
          <w:rFonts w:ascii="Garamond" w:hAnsi="Garamond"/>
        </w:rPr>
        <w:t>Attribute 3 – Pharmaceutical Management</w:t>
      </w:r>
      <w:r w:rsidRPr="00B708D3">
        <w:rPr>
          <w:rFonts w:ascii="Garamond" w:hAnsi="Garamond"/>
        </w:rPr>
        <w:t>,</w:t>
      </w:r>
      <w:r w:rsidR="00F40C64" w:rsidRPr="00B708D3">
        <w:rPr>
          <w:rFonts w:ascii="Garamond" w:hAnsi="Garamond"/>
        </w:rPr>
        <w:t xml:space="preserve"> where two immediate outcomes result.  In principle, all the attributes will support a range of behavioural responses and consequential immediate outcomes. We have elected to maintain the simplicity of presentation </w:t>
      </w:r>
      <w:r w:rsidRPr="00B708D3">
        <w:rPr>
          <w:rFonts w:ascii="Garamond" w:hAnsi="Garamond"/>
        </w:rPr>
        <w:t>by focusing</w:t>
      </w:r>
      <w:r w:rsidR="00F40C64" w:rsidRPr="00B708D3">
        <w:rPr>
          <w:rFonts w:ascii="Garamond" w:hAnsi="Garamond"/>
        </w:rPr>
        <w:t xml:space="preserve"> on the salient issues.</w:t>
      </w:r>
    </w:p>
    <w:p w:rsidR="00E50B5B" w:rsidRDefault="00E50B5B" w:rsidP="000E254A">
      <w:pPr>
        <w:sectPr w:rsidR="00E50B5B" w:rsidSect="00AD73E1">
          <w:headerReference w:type="default" r:id="rId9"/>
          <w:type w:val="continuous"/>
          <w:pgSz w:w="12240" w:h="15840"/>
          <w:pgMar w:top="1440" w:right="1440" w:bottom="1440" w:left="1440" w:header="720" w:footer="720" w:gutter="0"/>
          <w:cols w:space="720"/>
          <w:docGrid w:linePitch="360"/>
        </w:sectPr>
      </w:pPr>
    </w:p>
    <w:p w:rsidR="00E50B5B" w:rsidRDefault="00E53EA5" w:rsidP="00EA1AB8">
      <w:pPr>
        <w:ind w:left="-270"/>
      </w:pPr>
      <w:r>
        <w:rPr>
          <w:noProof/>
          <w:lang w:eastAsia="en-CA"/>
        </w:rPr>
        <w:drawing>
          <wp:inline distT="0" distB="0" distL="0" distR="0">
            <wp:extent cx="8229600" cy="4335145"/>
            <wp:effectExtent l="19050" t="0" r="0" b="0"/>
            <wp:docPr id="2" name="Picture 1" descr="EMR Benefits Spectrum_v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R Benefits Spectrum_v1.emf"/>
                    <pic:cNvPicPr/>
                  </pic:nvPicPr>
                  <pic:blipFill>
                    <a:blip r:embed="rId10" cstate="print"/>
                    <a:stretch>
                      <a:fillRect/>
                    </a:stretch>
                  </pic:blipFill>
                  <pic:spPr>
                    <a:xfrm>
                      <a:off x="0" y="0"/>
                      <a:ext cx="8229600" cy="4335145"/>
                    </a:xfrm>
                    <a:prstGeom prst="rect">
                      <a:avLst/>
                    </a:prstGeom>
                  </pic:spPr>
                </pic:pic>
              </a:graphicData>
            </a:graphic>
          </wp:inline>
        </w:drawing>
      </w:r>
    </w:p>
    <w:p w:rsidR="00E50B5B" w:rsidRDefault="00E50B5B" w:rsidP="000E254A"/>
    <w:p w:rsidR="00E50B5B" w:rsidRDefault="00E50B5B" w:rsidP="000E254A"/>
    <w:p w:rsidR="000E254A" w:rsidRDefault="00E50B5B" w:rsidP="00EB1DA0">
      <w:pPr>
        <w:jc w:val="center"/>
        <w:rPr>
          <w:b/>
        </w:rPr>
      </w:pPr>
      <w:r w:rsidRPr="00E50B5B">
        <w:rPr>
          <w:rFonts w:ascii="Arial" w:hAnsi="Arial" w:cs="Arial"/>
          <w:b/>
        </w:rPr>
        <w:t>Figure 2: HIT Benefits Logic Model</w:t>
      </w:r>
    </w:p>
    <w:p w:rsidR="00E50B5B" w:rsidRDefault="00E50B5B" w:rsidP="00EB1DA0">
      <w:pPr>
        <w:jc w:val="center"/>
        <w:rPr>
          <w:b/>
        </w:rPr>
        <w:sectPr w:rsidR="00E50B5B" w:rsidSect="00E50B5B">
          <w:pgSz w:w="15840" w:h="12240" w:orient="landscape"/>
          <w:pgMar w:top="1440" w:right="1440" w:bottom="1440" w:left="1440" w:header="720" w:footer="720" w:gutter="0"/>
          <w:cols w:space="720"/>
          <w:docGrid w:linePitch="360"/>
        </w:sectPr>
      </w:pPr>
    </w:p>
    <w:p w:rsidR="000E254A" w:rsidRPr="00B708D3" w:rsidRDefault="009C1F00" w:rsidP="00F40C64">
      <w:pPr>
        <w:rPr>
          <w:rFonts w:ascii="Garamond" w:hAnsi="Garamond"/>
        </w:rPr>
      </w:pPr>
      <w:r w:rsidRPr="00B708D3">
        <w:rPr>
          <w:rFonts w:ascii="Garamond" w:hAnsi="Garamond"/>
        </w:rPr>
        <w:t>The longer term benefits that are typically attributed to HIT emerge as a result of one or more immediate outcomes.  The story becomes more complex</w:t>
      </w:r>
      <w:r w:rsidR="004A54DC" w:rsidRPr="00B708D3">
        <w:rPr>
          <w:rFonts w:ascii="Garamond" w:hAnsi="Garamond"/>
        </w:rPr>
        <w:t>,</w:t>
      </w:r>
      <w:r w:rsidRPr="00B708D3">
        <w:rPr>
          <w:rFonts w:ascii="Garamond" w:hAnsi="Garamond"/>
        </w:rPr>
        <w:t xml:space="preserve"> however, for t</w:t>
      </w:r>
      <w:r w:rsidR="00F360F2" w:rsidRPr="00B708D3">
        <w:rPr>
          <w:rFonts w:ascii="Garamond" w:hAnsi="Garamond"/>
        </w:rPr>
        <w:t>hree</w:t>
      </w:r>
      <w:r w:rsidRPr="00B708D3">
        <w:rPr>
          <w:rFonts w:ascii="Garamond" w:hAnsi="Garamond"/>
        </w:rPr>
        <w:t xml:space="preserve"> reasons.  First, longer term benefits may flow from more than one immediate outcome</w:t>
      </w:r>
      <w:r w:rsidR="004A54DC" w:rsidRPr="00B708D3">
        <w:rPr>
          <w:rFonts w:ascii="Garamond" w:hAnsi="Garamond"/>
        </w:rPr>
        <w:t>,</w:t>
      </w:r>
      <w:r w:rsidRPr="00B708D3">
        <w:rPr>
          <w:rFonts w:ascii="Garamond" w:hAnsi="Garamond"/>
        </w:rPr>
        <w:t xml:space="preserve"> as shown for the incidence of disease.</w:t>
      </w:r>
      <w:r w:rsidR="00F360F2" w:rsidRPr="00B708D3">
        <w:rPr>
          <w:rFonts w:ascii="Garamond" w:hAnsi="Garamond"/>
        </w:rPr>
        <w:t xml:space="preserve"> Second, multiple long-term benefits may emerge from the immediate outcomes.  Third, and most problematic, is that external to the logic model are external or “confounding” factors.  For example, HIT may increase the rate at which providers encourage patients to complete flu immunizations, especially for populations at risk. At the same </w:t>
      </w:r>
      <w:r w:rsidR="004A54DC" w:rsidRPr="00B708D3">
        <w:rPr>
          <w:rFonts w:ascii="Garamond" w:hAnsi="Garamond"/>
        </w:rPr>
        <w:t>time, public health agencies may</w:t>
      </w:r>
      <w:r w:rsidR="00F360F2" w:rsidRPr="00B708D3">
        <w:rPr>
          <w:rFonts w:ascii="Garamond" w:hAnsi="Garamond"/>
        </w:rPr>
        <w:t xml:space="preserve"> conduct publicity campaigns to encourage immunizations.  Separating the attribution of the outcome of increased immunization rates from the context of increased public health </w:t>
      </w:r>
      <w:r w:rsidR="00EA1AB8" w:rsidRPr="00B708D3">
        <w:rPr>
          <w:rFonts w:ascii="Garamond" w:hAnsi="Garamond"/>
        </w:rPr>
        <w:t xml:space="preserve">promotion becomes the task of </w:t>
      </w:r>
      <w:r w:rsidR="004A54DC" w:rsidRPr="00B708D3">
        <w:rPr>
          <w:rFonts w:ascii="Garamond" w:hAnsi="Garamond"/>
        </w:rPr>
        <w:t xml:space="preserve">the </w:t>
      </w:r>
      <w:r w:rsidR="00EA1AB8" w:rsidRPr="00B708D3">
        <w:rPr>
          <w:rFonts w:ascii="Garamond" w:hAnsi="Garamond"/>
        </w:rPr>
        <w:t>evaluation methodology</w:t>
      </w:r>
      <w:r w:rsidR="004A54DC" w:rsidRPr="00B708D3">
        <w:rPr>
          <w:rFonts w:ascii="Garamond" w:hAnsi="Garamond"/>
        </w:rPr>
        <w:t>,</w:t>
      </w:r>
      <w:r w:rsidR="00EA1AB8" w:rsidRPr="00B708D3">
        <w:rPr>
          <w:rFonts w:ascii="Garamond" w:hAnsi="Garamond"/>
        </w:rPr>
        <w:t xml:space="preserve"> to which we now turn.</w:t>
      </w:r>
    </w:p>
    <w:p w:rsidR="00F40C64" w:rsidRPr="00B708D3" w:rsidRDefault="00F40C64" w:rsidP="00EA1AB8">
      <w:pPr>
        <w:rPr>
          <w:rFonts w:ascii="Garamond" w:hAnsi="Garamond"/>
          <w:b/>
        </w:rPr>
      </w:pPr>
    </w:p>
    <w:p w:rsidR="00EA1AB8" w:rsidRPr="00B708D3" w:rsidRDefault="00EA1AB8" w:rsidP="00EA1AB8">
      <w:pPr>
        <w:rPr>
          <w:rFonts w:ascii="Garamond" w:hAnsi="Garamond"/>
          <w:b/>
        </w:rPr>
      </w:pPr>
      <w:r w:rsidRPr="00B708D3">
        <w:rPr>
          <w:rFonts w:ascii="Garamond" w:hAnsi="Garamond"/>
          <w:b/>
        </w:rPr>
        <w:t>Evaluation methods for measuring HIT benefit</w:t>
      </w:r>
    </w:p>
    <w:p w:rsidR="00EA1AB8" w:rsidRPr="00B708D3" w:rsidRDefault="00EA1AB8" w:rsidP="00EA1AB8">
      <w:pPr>
        <w:rPr>
          <w:rFonts w:ascii="Garamond" w:hAnsi="Garamond"/>
          <w:b/>
        </w:rPr>
      </w:pPr>
    </w:p>
    <w:p w:rsidR="00E50B5B" w:rsidRPr="00B708D3" w:rsidRDefault="00EA1AB8" w:rsidP="00EA1AB8">
      <w:pPr>
        <w:rPr>
          <w:rFonts w:ascii="Garamond" w:hAnsi="Garamond"/>
        </w:rPr>
      </w:pPr>
      <w:r w:rsidRPr="00B708D3">
        <w:rPr>
          <w:rFonts w:ascii="Garamond" w:hAnsi="Garamond"/>
        </w:rPr>
        <w:t xml:space="preserve">Ideally, evaluations should create a counterfactual developed through random assignment.  </w:t>
      </w:r>
      <w:r w:rsidR="004172D9" w:rsidRPr="00B708D3">
        <w:rPr>
          <w:rFonts w:ascii="Garamond" w:hAnsi="Garamond"/>
        </w:rPr>
        <w:t>C</w:t>
      </w:r>
      <w:r w:rsidRPr="00B708D3">
        <w:rPr>
          <w:rFonts w:ascii="Garamond" w:hAnsi="Garamond"/>
        </w:rPr>
        <w:t xml:space="preserve">omparing </w:t>
      </w:r>
      <w:r w:rsidR="004172D9" w:rsidRPr="00B708D3">
        <w:rPr>
          <w:rFonts w:ascii="Garamond" w:hAnsi="Garamond"/>
        </w:rPr>
        <w:t>immediate outcomes</w:t>
      </w:r>
      <w:r w:rsidR="004A54DC" w:rsidRPr="00B708D3">
        <w:rPr>
          <w:rFonts w:ascii="Garamond" w:hAnsi="Garamond"/>
        </w:rPr>
        <w:t>,</w:t>
      </w:r>
      <w:r w:rsidR="004172D9" w:rsidRPr="00B708D3">
        <w:rPr>
          <w:rFonts w:ascii="Garamond" w:hAnsi="Garamond"/>
        </w:rPr>
        <w:t xml:space="preserve"> such as screening rates for cancer, medication errors</w:t>
      </w:r>
      <w:r w:rsidR="004A54DC" w:rsidRPr="00B708D3">
        <w:rPr>
          <w:rFonts w:ascii="Garamond" w:hAnsi="Garamond"/>
        </w:rPr>
        <w:t>,</w:t>
      </w:r>
      <w:r w:rsidR="004172D9" w:rsidRPr="00B708D3">
        <w:rPr>
          <w:rFonts w:ascii="Garamond" w:hAnsi="Garamond"/>
        </w:rPr>
        <w:t xml:space="preserve"> or completion of standards of care for diabetes, for </w:t>
      </w:r>
      <w:r w:rsidRPr="00B708D3">
        <w:rPr>
          <w:rFonts w:ascii="Garamond" w:hAnsi="Garamond"/>
        </w:rPr>
        <w:t>providers with and without HIT</w:t>
      </w:r>
      <w:r w:rsidR="004A54DC" w:rsidRPr="00B708D3">
        <w:rPr>
          <w:rFonts w:ascii="Garamond" w:hAnsi="Garamond"/>
        </w:rPr>
        <w:t xml:space="preserve"> </w:t>
      </w:r>
      <w:r w:rsidR="004172D9" w:rsidRPr="00B708D3">
        <w:rPr>
          <w:rFonts w:ascii="Garamond" w:hAnsi="Garamond"/>
        </w:rPr>
        <w:t xml:space="preserve">reveals the </w:t>
      </w:r>
      <w:r w:rsidR="00C54FE4" w:rsidRPr="00B708D3">
        <w:rPr>
          <w:rFonts w:ascii="Garamond" w:hAnsi="Garamond"/>
        </w:rPr>
        <w:t xml:space="preserve">benefit of HIT.  </w:t>
      </w:r>
      <w:r w:rsidR="006A4CA4" w:rsidRPr="00B708D3">
        <w:rPr>
          <w:rFonts w:ascii="Garamond" w:hAnsi="Garamond"/>
        </w:rPr>
        <w:t>Benefits will be measure</w:t>
      </w:r>
      <w:r w:rsidR="008935BE" w:rsidRPr="00B708D3">
        <w:rPr>
          <w:rFonts w:ascii="Garamond" w:hAnsi="Garamond"/>
        </w:rPr>
        <w:t>d easily</w:t>
      </w:r>
      <w:r w:rsidR="006A4CA4" w:rsidRPr="00B708D3">
        <w:rPr>
          <w:rFonts w:ascii="Garamond" w:hAnsi="Garamond"/>
        </w:rPr>
        <w:t xml:space="preserve"> under the assumption </w:t>
      </w:r>
      <w:r w:rsidR="00C54FE4" w:rsidRPr="00B708D3">
        <w:rPr>
          <w:rFonts w:ascii="Garamond" w:hAnsi="Garamond"/>
        </w:rPr>
        <w:t>that the indicators are positive for the HIT practices (</w:t>
      </w:r>
      <w:r w:rsidR="002F3ADF" w:rsidRPr="00B708D3">
        <w:rPr>
          <w:rFonts w:ascii="Garamond" w:hAnsi="Garamond"/>
        </w:rPr>
        <w:t>e.g.</w:t>
      </w:r>
      <w:r w:rsidR="00C54FE4" w:rsidRPr="00B708D3">
        <w:rPr>
          <w:rFonts w:ascii="Garamond" w:hAnsi="Garamond"/>
        </w:rPr>
        <w:t xml:space="preserve">, increased screening rates) </w:t>
      </w:r>
      <w:r w:rsidR="00C54FE4" w:rsidRPr="00B708D3">
        <w:rPr>
          <w:rFonts w:ascii="Garamond" w:hAnsi="Garamond"/>
          <w:i/>
        </w:rPr>
        <w:t>and</w:t>
      </w:r>
      <w:r w:rsidR="00C54FE4" w:rsidRPr="00B708D3">
        <w:rPr>
          <w:rFonts w:ascii="Garamond" w:hAnsi="Garamond"/>
        </w:rPr>
        <w:t xml:space="preserve"> </w:t>
      </w:r>
      <w:r w:rsidR="00A11C3B" w:rsidRPr="00B708D3">
        <w:rPr>
          <w:rFonts w:ascii="Garamond" w:hAnsi="Garamond"/>
        </w:rPr>
        <w:t>that</w:t>
      </w:r>
      <w:r w:rsidR="004172D9" w:rsidRPr="00B708D3">
        <w:rPr>
          <w:rFonts w:ascii="Garamond" w:hAnsi="Garamond"/>
        </w:rPr>
        <w:t xml:space="preserve"> </w:t>
      </w:r>
      <w:r w:rsidR="008935BE" w:rsidRPr="00B708D3">
        <w:rPr>
          <w:rFonts w:ascii="Garamond" w:hAnsi="Garamond"/>
        </w:rPr>
        <w:t xml:space="preserve">HIT was assigned </w:t>
      </w:r>
      <w:r w:rsidR="00C54FE4" w:rsidRPr="00B708D3">
        <w:rPr>
          <w:rFonts w:ascii="Garamond" w:hAnsi="Garamond"/>
        </w:rPr>
        <w:t>to a randomly selected subset of providers.  Of course</w:t>
      </w:r>
      <w:r w:rsidR="00C907E1" w:rsidRPr="00B708D3">
        <w:rPr>
          <w:rFonts w:ascii="Garamond" w:hAnsi="Garamond"/>
        </w:rPr>
        <w:t>,</w:t>
      </w:r>
      <w:r w:rsidR="00C54FE4" w:rsidRPr="00B708D3">
        <w:rPr>
          <w:rFonts w:ascii="Garamond" w:hAnsi="Garamond"/>
        </w:rPr>
        <w:t xml:space="preserve"> HIT is never implemented by a random subset</w:t>
      </w:r>
      <w:r w:rsidR="004A54DC" w:rsidRPr="00B708D3">
        <w:rPr>
          <w:rFonts w:ascii="Garamond" w:hAnsi="Garamond"/>
        </w:rPr>
        <w:t>,</w:t>
      </w:r>
      <w:r w:rsidR="00C54FE4" w:rsidRPr="00B708D3">
        <w:rPr>
          <w:rFonts w:ascii="Garamond" w:hAnsi="Garamond"/>
        </w:rPr>
        <w:t xml:space="preserve"> and alternate quasi-experimental methods are needed to infer benefit.</w:t>
      </w:r>
    </w:p>
    <w:p w:rsidR="003B5948" w:rsidRPr="00B708D3" w:rsidRDefault="004A54DC" w:rsidP="003B5948">
      <w:pPr>
        <w:spacing w:before="100" w:beforeAutospacing="1" w:after="100" w:afterAutospacing="1"/>
        <w:rPr>
          <w:rFonts w:ascii="Garamond" w:hAnsi="Garamond"/>
        </w:rPr>
      </w:pPr>
      <w:r w:rsidRPr="00B708D3">
        <w:rPr>
          <w:rFonts w:ascii="Garamond" w:hAnsi="Garamond"/>
        </w:rPr>
        <w:t>Quasi-</w:t>
      </w:r>
      <w:r w:rsidR="003B5948" w:rsidRPr="00B708D3">
        <w:rPr>
          <w:rFonts w:ascii="Garamond" w:hAnsi="Garamond"/>
        </w:rPr>
        <w:t xml:space="preserve">experiments refer to a range of methodologies designed to replicate the inferential power of a randomized experiment (DiNardo, 2008).  Included designs </w:t>
      </w:r>
      <w:r w:rsidR="00A94E5D" w:rsidRPr="00B708D3">
        <w:rPr>
          <w:rFonts w:ascii="Garamond" w:hAnsi="Garamond"/>
        </w:rPr>
        <w:t xml:space="preserve">are the following: </w:t>
      </w:r>
    </w:p>
    <w:p w:rsidR="00296917"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Difference-in-difference</w:t>
      </w:r>
      <w:r w:rsidR="00296917" w:rsidRPr="00B708D3">
        <w:rPr>
          <w:rFonts w:ascii="Garamond" w:hAnsi="Garamond"/>
        </w:rPr>
        <w:t>s</w:t>
      </w:r>
      <w:r w:rsidRPr="00B708D3">
        <w:rPr>
          <w:rFonts w:ascii="Garamond" w:hAnsi="Garamond"/>
        </w:rPr>
        <w:t xml:space="preserve"> </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 xml:space="preserve">General multivariate regression </w:t>
      </w:r>
    </w:p>
    <w:p w:rsidR="003B5948" w:rsidRPr="00B708D3" w:rsidRDefault="008935BE" w:rsidP="003B5948">
      <w:pPr>
        <w:numPr>
          <w:ilvl w:val="0"/>
          <w:numId w:val="28"/>
        </w:numPr>
        <w:spacing w:before="100" w:beforeAutospacing="1" w:after="100" w:afterAutospacing="1"/>
        <w:rPr>
          <w:rFonts w:ascii="Garamond" w:hAnsi="Garamond"/>
        </w:rPr>
      </w:pPr>
      <w:r w:rsidRPr="00B708D3">
        <w:rPr>
          <w:rFonts w:ascii="Garamond" w:hAnsi="Garamond"/>
        </w:rPr>
        <w:t xml:space="preserve">Pre-post time </w:t>
      </w:r>
      <w:r w:rsidR="003B5948" w:rsidRPr="00B708D3">
        <w:rPr>
          <w:rFonts w:ascii="Garamond" w:hAnsi="Garamond"/>
        </w:rPr>
        <w:t xml:space="preserve">series </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 xml:space="preserve">Regression discontinuity </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Case-control designs</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Propensity score matching</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Instrumental variables</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Cohort models</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Panel analysis</w:t>
      </w:r>
    </w:p>
    <w:p w:rsidR="003B5948" w:rsidRPr="00B708D3" w:rsidRDefault="003B5948" w:rsidP="003B5948">
      <w:pPr>
        <w:numPr>
          <w:ilvl w:val="0"/>
          <w:numId w:val="28"/>
        </w:numPr>
        <w:spacing w:before="100" w:beforeAutospacing="1" w:after="100" w:afterAutospacing="1"/>
        <w:rPr>
          <w:rFonts w:ascii="Garamond" w:hAnsi="Garamond"/>
        </w:rPr>
      </w:pPr>
      <w:r w:rsidRPr="00B708D3">
        <w:rPr>
          <w:rFonts w:ascii="Garamond" w:hAnsi="Garamond"/>
        </w:rPr>
        <w:t>Natural experiments</w:t>
      </w:r>
    </w:p>
    <w:p w:rsidR="00265269" w:rsidRPr="00B708D3" w:rsidRDefault="00265269" w:rsidP="003B5948">
      <w:pPr>
        <w:numPr>
          <w:ilvl w:val="0"/>
          <w:numId w:val="28"/>
        </w:numPr>
        <w:spacing w:before="100" w:beforeAutospacing="1" w:after="100" w:afterAutospacing="1"/>
        <w:rPr>
          <w:rFonts w:ascii="Garamond" w:hAnsi="Garamond"/>
        </w:rPr>
      </w:pPr>
      <w:r w:rsidRPr="00B708D3">
        <w:rPr>
          <w:rFonts w:ascii="Garamond" w:hAnsi="Garamond"/>
        </w:rPr>
        <w:t>Simulation and projection models</w:t>
      </w:r>
    </w:p>
    <w:p w:rsidR="00296917" w:rsidRPr="00B708D3" w:rsidRDefault="00C907E1" w:rsidP="00EA1AB8">
      <w:pPr>
        <w:rPr>
          <w:rFonts w:ascii="Garamond" w:hAnsi="Garamond"/>
        </w:rPr>
      </w:pPr>
      <w:r w:rsidRPr="00B708D3">
        <w:rPr>
          <w:rFonts w:ascii="Garamond" w:hAnsi="Garamond"/>
        </w:rPr>
        <w:t>The focus on benefit measurement for HIT must be to verify that the new technology and practices have initiated the required behavioural changes</w:t>
      </w:r>
      <w:r w:rsidRPr="00B708D3">
        <w:rPr>
          <w:rFonts w:ascii="Garamond" w:hAnsi="Garamond"/>
          <w:i/>
        </w:rPr>
        <w:t xml:space="preserve"> and</w:t>
      </w:r>
      <w:r w:rsidRPr="00B708D3">
        <w:rPr>
          <w:rFonts w:ascii="Garamond" w:hAnsi="Garamond"/>
        </w:rPr>
        <w:t xml:space="preserve"> that these have created immediate outcomes that are plausibly linked to longer-term changes in health outcomes.  Confounding factors require very rich micro data</w:t>
      </w:r>
      <w:r w:rsidR="00296917" w:rsidRPr="00B708D3">
        <w:rPr>
          <w:rFonts w:ascii="Garamond" w:hAnsi="Garamond"/>
        </w:rPr>
        <w:t xml:space="preserve"> </w:t>
      </w:r>
      <w:r w:rsidRPr="00B708D3">
        <w:rPr>
          <w:rFonts w:ascii="Garamond" w:hAnsi="Garamond"/>
        </w:rPr>
        <w:t xml:space="preserve">to </w:t>
      </w:r>
      <w:r w:rsidR="00296917" w:rsidRPr="00B708D3">
        <w:rPr>
          <w:rFonts w:ascii="Garamond" w:hAnsi="Garamond"/>
        </w:rPr>
        <w:t xml:space="preserve">support </w:t>
      </w:r>
      <w:r w:rsidRPr="00B708D3">
        <w:rPr>
          <w:rFonts w:ascii="Garamond" w:hAnsi="Garamond"/>
        </w:rPr>
        <w:t xml:space="preserve">the statistical </w:t>
      </w:r>
      <w:r w:rsidR="00296917" w:rsidRPr="00B708D3">
        <w:rPr>
          <w:rFonts w:ascii="Garamond" w:hAnsi="Garamond"/>
        </w:rPr>
        <w:t>analysis</w:t>
      </w:r>
      <w:r w:rsidR="004A54DC" w:rsidRPr="00B708D3">
        <w:rPr>
          <w:rFonts w:ascii="Garamond" w:hAnsi="Garamond"/>
        </w:rPr>
        <w:t xml:space="preserve"> using quasi-</w:t>
      </w:r>
      <w:r w:rsidR="004172D9" w:rsidRPr="00B708D3">
        <w:rPr>
          <w:rFonts w:ascii="Garamond" w:hAnsi="Garamond"/>
        </w:rPr>
        <w:t>experimental methods</w:t>
      </w:r>
      <w:r w:rsidR="00A11C3B" w:rsidRPr="00B708D3">
        <w:rPr>
          <w:rFonts w:ascii="Garamond" w:hAnsi="Garamond"/>
        </w:rPr>
        <w:t xml:space="preserve">. </w:t>
      </w:r>
      <w:r w:rsidR="00296917" w:rsidRPr="00B708D3">
        <w:rPr>
          <w:rFonts w:ascii="Garamond" w:hAnsi="Garamond"/>
        </w:rPr>
        <w:t xml:space="preserve">Therefore, rather than a </w:t>
      </w:r>
      <w:r w:rsidR="009E4628" w:rsidRPr="00B708D3">
        <w:rPr>
          <w:rFonts w:ascii="Garamond" w:hAnsi="Garamond"/>
        </w:rPr>
        <w:t>general estimate of the</w:t>
      </w:r>
      <w:r w:rsidR="00296917" w:rsidRPr="00B708D3">
        <w:rPr>
          <w:rFonts w:ascii="Garamond" w:hAnsi="Garamond"/>
        </w:rPr>
        <w:t xml:space="preserve"> benefit of HIT, </w:t>
      </w:r>
      <w:r w:rsidR="004172D9" w:rsidRPr="00B708D3">
        <w:rPr>
          <w:rFonts w:ascii="Garamond" w:hAnsi="Garamond"/>
        </w:rPr>
        <w:t xml:space="preserve">which would be very complex, </w:t>
      </w:r>
      <w:r w:rsidR="00296917" w:rsidRPr="00B708D3">
        <w:rPr>
          <w:rFonts w:ascii="Garamond" w:hAnsi="Garamond"/>
        </w:rPr>
        <w:t xml:space="preserve">a more fruitful approach </w:t>
      </w:r>
      <w:r w:rsidR="004A54DC" w:rsidRPr="00B708D3">
        <w:rPr>
          <w:rFonts w:ascii="Garamond" w:hAnsi="Garamond"/>
        </w:rPr>
        <w:t>is</w:t>
      </w:r>
      <w:r w:rsidR="00296917" w:rsidRPr="00B708D3">
        <w:rPr>
          <w:rFonts w:ascii="Garamond" w:hAnsi="Garamond"/>
        </w:rPr>
        <w:t xml:space="preserve"> a series </w:t>
      </w:r>
      <w:r w:rsidR="004A54DC" w:rsidRPr="00B708D3">
        <w:rPr>
          <w:rFonts w:ascii="Garamond" w:hAnsi="Garamond"/>
        </w:rPr>
        <w:t xml:space="preserve">of </w:t>
      </w:r>
      <w:r w:rsidR="00296917" w:rsidRPr="00B708D3">
        <w:rPr>
          <w:rFonts w:ascii="Garamond" w:hAnsi="Garamond"/>
        </w:rPr>
        <w:t xml:space="preserve">smaller (local) studies </w:t>
      </w:r>
      <w:r w:rsidR="00A94E5D" w:rsidRPr="00B708D3">
        <w:rPr>
          <w:rFonts w:ascii="Garamond" w:hAnsi="Garamond"/>
        </w:rPr>
        <w:t xml:space="preserve">that </w:t>
      </w:r>
      <w:r w:rsidR="00296917" w:rsidRPr="00B708D3">
        <w:rPr>
          <w:rFonts w:ascii="Garamond" w:hAnsi="Garamond"/>
        </w:rPr>
        <w:t xml:space="preserve">show progress of each </w:t>
      </w:r>
      <w:r w:rsidR="00296917" w:rsidRPr="00B708D3">
        <w:rPr>
          <w:rFonts w:ascii="Garamond" w:hAnsi="Garamond"/>
          <w:i/>
        </w:rPr>
        <w:t>input →  output → immediate outcome</w:t>
      </w:r>
      <w:r w:rsidR="00296917" w:rsidRPr="00B708D3">
        <w:rPr>
          <w:rFonts w:ascii="Garamond" w:hAnsi="Garamond"/>
        </w:rPr>
        <w:t xml:space="preserve"> results chain</w:t>
      </w:r>
      <w:r w:rsidR="00A94E5D" w:rsidRPr="00B708D3">
        <w:rPr>
          <w:rFonts w:ascii="Garamond" w:hAnsi="Garamond"/>
        </w:rPr>
        <w:t>s</w:t>
      </w:r>
      <w:r w:rsidR="00296917" w:rsidRPr="00B708D3">
        <w:rPr>
          <w:rFonts w:ascii="Garamond" w:hAnsi="Garamond"/>
        </w:rPr>
        <w:t xml:space="preserve">. </w:t>
      </w:r>
    </w:p>
    <w:p w:rsidR="00296917" w:rsidRPr="00B708D3" w:rsidRDefault="00296917" w:rsidP="00EA1AB8">
      <w:pPr>
        <w:rPr>
          <w:rFonts w:ascii="Garamond" w:hAnsi="Garamond"/>
        </w:rPr>
      </w:pPr>
    </w:p>
    <w:p w:rsidR="00950CF9" w:rsidRPr="00B708D3" w:rsidRDefault="00950CF9" w:rsidP="00EA1AB8">
      <w:pPr>
        <w:rPr>
          <w:rFonts w:ascii="Garamond" w:hAnsi="Garamond"/>
        </w:rPr>
      </w:pPr>
      <w:r w:rsidRPr="00B708D3">
        <w:rPr>
          <w:rFonts w:ascii="Garamond" w:hAnsi="Garamond"/>
        </w:rPr>
        <w:t xml:space="preserve">Any of the </w:t>
      </w:r>
      <w:r w:rsidR="004172D9" w:rsidRPr="00B708D3">
        <w:rPr>
          <w:rFonts w:ascii="Garamond" w:hAnsi="Garamond"/>
        </w:rPr>
        <w:t xml:space="preserve">above </w:t>
      </w:r>
      <w:r w:rsidRPr="00B708D3">
        <w:rPr>
          <w:rFonts w:ascii="Garamond" w:hAnsi="Garamond"/>
        </w:rPr>
        <w:t>quasi-experimental designs</w:t>
      </w:r>
      <w:r w:rsidR="000B2048" w:rsidRPr="00B708D3">
        <w:rPr>
          <w:rFonts w:ascii="Garamond" w:hAnsi="Garamond"/>
        </w:rPr>
        <w:t xml:space="preserve"> applied to HIT benefit measurement </w:t>
      </w:r>
      <w:r w:rsidRPr="00B708D3">
        <w:rPr>
          <w:rFonts w:ascii="Garamond" w:hAnsi="Garamond"/>
        </w:rPr>
        <w:t xml:space="preserve">has three core information requirements.  First, </w:t>
      </w:r>
      <w:r w:rsidR="00296917" w:rsidRPr="00B708D3">
        <w:rPr>
          <w:rFonts w:ascii="Garamond" w:hAnsi="Garamond"/>
        </w:rPr>
        <w:t>it</w:t>
      </w:r>
      <w:r w:rsidRPr="00B708D3">
        <w:rPr>
          <w:rFonts w:ascii="Garamond" w:hAnsi="Garamond"/>
        </w:rPr>
        <w:t xml:space="preserve"> must be</w:t>
      </w:r>
      <w:r w:rsidR="00296917" w:rsidRPr="00B708D3">
        <w:rPr>
          <w:rFonts w:ascii="Garamond" w:hAnsi="Garamond"/>
        </w:rPr>
        <w:t xml:space="preserve"> possible to rank the implementation of HIT for any provider. </w:t>
      </w:r>
      <w:r w:rsidR="00833F83" w:rsidRPr="00B708D3">
        <w:rPr>
          <w:rFonts w:ascii="Garamond" w:hAnsi="Garamond"/>
        </w:rPr>
        <w:t xml:space="preserve"> This may be through self</w:t>
      </w:r>
      <w:r w:rsidR="00A94E5D" w:rsidRPr="00B708D3">
        <w:rPr>
          <w:rFonts w:ascii="Garamond" w:hAnsi="Garamond"/>
        </w:rPr>
        <w:t>-</w:t>
      </w:r>
      <w:r w:rsidR="00833F83" w:rsidRPr="00B708D3">
        <w:rPr>
          <w:rFonts w:ascii="Garamond" w:hAnsi="Garamond"/>
        </w:rPr>
        <w:t xml:space="preserve">report or some other audit process.  </w:t>
      </w:r>
      <w:r w:rsidR="00806145" w:rsidRPr="00B708D3">
        <w:rPr>
          <w:rFonts w:ascii="Garamond" w:hAnsi="Garamond"/>
        </w:rPr>
        <w:t>Juris</w:t>
      </w:r>
      <w:r w:rsidR="00A11C3B" w:rsidRPr="00B708D3">
        <w:rPr>
          <w:rFonts w:ascii="Garamond" w:hAnsi="Garamond"/>
        </w:rPr>
        <w:t>dictions that have</w:t>
      </w:r>
      <w:r w:rsidR="00A11C3B">
        <w:rPr>
          <w:rFonts w:ascii="Garamond" w:hAnsi="Garamond"/>
        </w:rPr>
        <w:t xml:space="preserve"> </w:t>
      </w:r>
      <w:r w:rsidR="00A11C3B" w:rsidRPr="00B708D3">
        <w:rPr>
          <w:rFonts w:ascii="Garamond" w:hAnsi="Garamond"/>
        </w:rPr>
        <w:t xml:space="preserve">specified electronic medical record systems will usually require participating providers to maintain </w:t>
      </w:r>
      <w:r w:rsidR="00806145" w:rsidRPr="00B708D3">
        <w:rPr>
          <w:rFonts w:ascii="Garamond" w:hAnsi="Garamond"/>
        </w:rPr>
        <w:t xml:space="preserve">records on the level of implementation. </w:t>
      </w:r>
      <w:r w:rsidR="009E4628" w:rsidRPr="00B708D3">
        <w:rPr>
          <w:rFonts w:ascii="Garamond" w:hAnsi="Garamond"/>
        </w:rPr>
        <w:t>Only with measur</w:t>
      </w:r>
      <w:r w:rsidR="00A94E5D" w:rsidRPr="00B708D3">
        <w:rPr>
          <w:rFonts w:ascii="Garamond" w:hAnsi="Garamond"/>
        </w:rPr>
        <w:t>able variation in HIT implementation is it possible to develop the contrast needed to associate variation in outcome with variation in implementation.</w:t>
      </w:r>
    </w:p>
    <w:p w:rsidR="00950CF9" w:rsidRPr="00B708D3" w:rsidRDefault="00950CF9" w:rsidP="00EA1AB8">
      <w:pPr>
        <w:rPr>
          <w:rFonts w:ascii="Garamond" w:hAnsi="Garamond"/>
        </w:rPr>
      </w:pPr>
    </w:p>
    <w:p w:rsidR="00950CF9" w:rsidRPr="00B708D3" w:rsidRDefault="00950CF9" w:rsidP="00EA1AB8">
      <w:pPr>
        <w:rPr>
          <w:rFonts w:ascii="Garamond" w:hAnsi="Garamond"/>
        </w:rPr>
      </w:pPr>
      <w:r w:rsidRPr="00B708D3">
        <w:rPr>
          <w:rFonts w:ascii="Garamond" w:hAnsi="Garamond"/>
        </w:rPr>
        <w:t xml:space="preserve">Second, the </w:t>
      </w:r>
      <w:r w:rsidR="00296917" w:rsidRPr="00B708D3">
        <w:rPr>
          <w:rFonts w:ascii="Garamond" w:hAnsi="Garamond"/>
        </w:rPr>
        <w:t>HIT needs to be characterized using a common framework</w:t>
      </w:r>
      <w:r w:rsidR="009E4628" w:rsidRPr="00B708D3">
        <w:rPr>
          <w:rFonts w:ascii="Garamond" w:hAnsi="Garamond"/>
        </w:rPr>
        <w:t>,</w:t>
      </w:r>
      <w:r w:rsidR="00296917" w:rsidRPr="00B708D3">
        <w:rPr>
          <w:rFonts w:ascii="Garamond" w:hAnsi="Garamond"/>
        </w:rPr>
        <w:t xml:space="preserve"> such as the attributes in Table 1. </w:t>
      </w:r>
      <w:r w:rsidRPr="00B708D3">
        <w:rPr>
          <w:rFonts w:ascii="Garamond" w:hAnsi="Garamond"/>
        </w:rPr>
        <w:t xml:space="preserve">This is certainly not the only characterization, but any model of HIT for primary care needs </w:t>
      </w:r>
      <w:r w:rsidR="00A94E5D" w:rsidRPr="00B708D3">
        <w:rPr>
          <w:rFonts w:ascii="Garamond" w:hAnsi="Garamond"/>
        </w:rPr>
        <w:t>such a framework to support the various results chains that will be studied.</w:t>
      </w:r>
      <w:r w:rsidR="00296917" w:rsidRPr="00B708D3">
        <w:rPr>
          <w:rFonts w:ascii="Garamond" w:hAnsi="Garamond"/>
        </w:rPr>
        <w:t xml:space="preserve"> </w:t>
      </w:r>
    </w:p>
    <w:p w:rsidR="00A94E5D" w:rsidRPr="00B708D3" w:rsidRDefault="00A94E5D" w:rsidP="00EA1AB8">
      <w:pPr>
        <w:rPr>
          <w:rFonts w:ascii="Garamond" w:hAnsi="Garamond"/>
        </w:rPr>
      </w:pPr>
    </w:p>
    <w:p w:rsidR="00A94E5D" w:rsidRPr="00B708D3" w:rsidRDefault="00A94E5D" w:rsidP="00EA1AB8">
      <w:pPr>
        <w:rPr>
          <w:rFonts w:ascii="Garamond" w:hAnsi="Garamond"/>
        </w:rPr>
      </w:pPr>
      <w:r w:rsidRPr="00B708D3">
        <w:rPr>
          <w:rFonts w:ascii="Garamond" w:hAnsi="Garamond"/>
        </w:rPr>
        <w:t>Third</w:t>
      </w:r>
      <w:r w:rsidR="00936DB6" w:rsidRPr="00B708D3">
        <w:rPr>
          <w:rFonts w:ascii="Garamond" w:hAnsi="Garamond"/>
        </w:rPr>
        <w:t xml:space="preserve">, measurement of the immediate outcomes requires reliable and valid data. In a </w:t>
      </w:r>
      <w:r w:rsidR="009E4628" w:rsidRPr="00B708D3">
        <w:rPr>
          <w:rFonts w:ascii="Garamond" w:hAnsi="Garamond"/>
        </w:rPr>
        <w:t>worst-</w:t>
      </w:r>
      <w:r w:rsidR="00936DB6" w:rsidRPr="00B708D3">
        <w:rPr>
          <w:rFonts w:ascii="Garamond" w:hAnsi="Garamond"/>
        </w:rPr>
        <w:t xml:space="preserve">case scenario, this information may be derived from sample surveys of patients </w:t>
      </w:r>
      <w:r w:rsidR="009E4628" w:rsidRPr="00B708D3">
        <w:rPr>
          <w:rFonts w:ascii="Garamond" w:hAnsi="Garamond"/>
        </w:rPr>
        <w:t>who</w:t>
      </w:r>
      <w:r w:rsidR="00936DB6" w:rsidRPr="00B708D3">
        <w:rPr>
          <w:rFonts w:ascii="Garamond" w:hAnsi="Garamond"/>
        </w:rPr>
        <w:t xml:space="preserve"> request self</w:t>
      </w:r>
      <w:r w:rsidR="000B2048" w:rsidRPr="00B708D3">
        <w:rPr>
          <w:rFonts w:ascii="Garamond" w:hAnsi="Garamond"/>
        </w:rPr>
        <w:t>-</w:t>
      </w:r>
      <w:r w:rsidR="00936DB6" w:rsidRPr="00B708D3">
        <w:rPr>
          <w:rFonts w:ascii="Garamond" w:hAnsi="Garamond"/>
        </w:rPr>
        <w:t>report information on participation in certain practices as well as attendance at primary care centres.  Post</w:t>
      </w:r>
      <w:r w:rsidR="009E4628" w:rsidRPr="00B708D3">
        <w:rPr>
          <w:rFonts w:ascii="Garamond" w:hAnsi="Garamond"/>
        </w:rPr>
        <w:t>-</w:t>
      </w:r>
      <w:r w:rsidR="00936DB6" w:rsidRPr="00B708D3">
        <w:rPr>
          <w:rFonts w:ascii="Garamond" w:hAnsi="Garamond"/>
        </w:rPr>
        <w:t xml:space="preserve"> survey stratification will support classification of the information by </w:t>
      </w:r>
      <w:r w:rsidR="000B2048" w:rsidRPr="00B708D3">
        <w:rPr>
          <w:rFonts w:ascii="Garamond" w:hAnsi="Garamond"/>
        </w:rPr>
        <w:t xml:space="preserve">level of HIT (obtained through independent means). </w:t>
      </w:r>
      <w:r w:rsidR="009E4628" w:rsidRPr="00B708D3">
        <w:rPr>
          <w:rFonts w:ascii="Garamond" w:hAnsi="Garamond"/>
        </w:rPr>
        <w:t xml:space="preserve">It is more desirable to </w:t>
      </w:r>
      <w:r w:rsidR="000B2048" w:rsidRPr="00B708D3">
        <w:rPr>
          <w:rFonts w:ascii="Garamond" w:hAnsi="Garamond"/>
        </w:rPr>
        <w:t>collect immediate outcome data from the large payer database maintained by government, insurers</w:t>
      </w:r>
      <w:r w:rsidR="009E4628" w:rsidRPr="00B708D3">
        <w:rPr>
          <w:rFonts w:ascii="Garamond" w:hAnsi="Garamond"/>
        </w:rPr>
        <w:t>,</w:t>
      </w:r>
      <w:r w:rsidR="000B2048" w:rsidRPr="00B708D3">
        <w:rPr>
          <w:rFonts w:ascii="Garamond" w:hAnsi="Garamond"/>
        </w:rPr>
        <w:t xml:space="preserve"> and health management organizations. Thus</w:t>
      </w:r>
      <w:r w:rsidR="009E4628" w:rsidRPr="00B708D3">
        <w:rPr>
          <w:rFonts w:ascii="Garamond" w:hAnsi="Garamond"/>
        </w:rPr>
        <w:t>,</w:t>
      </w:r>
      <w:r w:rsidR="000B2048" w:rsidRPr="00B708D3">
        <w:rPr>
          <w:rFonts w:ascii="Garamond" w:hAnsi="Garamond"/>
        </w:rPr>
        <w:t xml:space="preserve"> measurement of HIT benefits require</w:t>
      </w:r>
      <w:r w:rsidR="004172D9" w:rsidRPr="00B708D3">
        <w:rPr>
          <w:rFonts w:ascii="Garamond" w:hAnsi="Garamond"/>
        </w:rPr>
        <w:t>s</w:t>
      </w:r>
      <w:r w:rsidR="000B2048" w:rsidRPr="00B708D3">
        <w:rPr>
          <w:rFonts w:ascii="Garamond" w:hAnsi="Garamond"/>
        </w:rPr>
        <w:t xml:space="preserve"> data development to create unified information </w:t>
      </w:r>
      <w:r w:rsidR="009E4628" w:rsidRPr="00B708D3">
        <w:rPr>
          <w:rFonts w:ascii="Garamond" w:hAnsi="Garamond"/>
        </w:rPr>
        <w:t xml:space="preserve">on providers’ use and behaviours </w:t>
      </w:r>
      <w:r w:rsidR="000B2048" w:rsidRPr="00B708D3">
        <w:rPr>
          <w:rFonts w:ascii="Garamond" w:hAnsi="Garamond"/>
        </w:rPr>
        <w:t>at the patient level (attendance at health screens, participation in immunizations, etc.).</w:t>
      </w:r>
      <w:r w:rsidR="00265269" w:rsidRPr="00B708D3">
        <w:rPr>
          <w:rFonts w:ascii="Garamond" w:hAnsi="Garamond"/>
        </w:rPr>
        <w:t xml:space="preserve">  It is also important that the datasets include detailed information on patient characteristics such as education, age</w:t>
      </w:r>
      <w:r w:rsidR="009E4628" w:rsidRPr="00B708D3">
        <w:rPr>
          <w:rFonts w:ascii="Garamond" w:hAnsi="Garamond"/>
        </w:rPr>
        <w:t>,</w:t>
      </w:r>
      <w:r w:rsidR="00265269" w:rsidRPr="00B708D3">
        <w:rPr>
          <w:rFonts w:ascii="Garamond" w:hAnsi="Garamond"/>
        </w:rPr>
        <w:t xml:space="preserve"> and gender, since these are likely to influence response to the opportunities presented by HIT</w:t>
      </w:r>
      <w:r w:rsidR="009E4628" w:rsidRPr="00B708D3">
        <w:rPr>
          <w:rFonts w:ascii="Garamond" w:hAnsi="Garamond"/>
        </w:rPr>
        <w:t>.</w:t>
      </w:r>
    </w:p>
    <w:p w:rsidR="0049168C" w:rsidRPr="00B708D3" w:rsidRDefault="0049168C" w:rsidP="00EA1AB8">
      <w:pPr>
        <w:rPr>
          <w:rFonts w:ascii="Garamond" w:hAnsi="Garamond"/>
        </w:rPr>
      </w:pPr>
    </w:p>
    <w:p w:rsidR="0049168C" w:rsidRPr="00B708D3" w:rsidRDefault="0049168C" w:rsidP="0049168C">
      <w:pPr>
        <w:rPr>
          <w:rFonts w:ascii="Garamond" w:hAnsi="Garamond"/>
        </w:rPr>
      </w:pPr>
      <w:r w:rsidRPr="00B708D3">
        <w:rPr>
          <w:rFonts w:ascii="Garamond" w:hAnsi="Garamond"/>
        </w:rPr>
        <w:t xml:space="preserve">The benefit measurement strategy should </w:t>
      </w:r>
      <w:r w:rsidR="004172D9" w:rsidRPr="00B708D3">
        <w:rPr>
          <w:rFonts w:ascii="Garamond" w:hAnsi="Garamond"/>
        </w:rPr>
        <w:t>focus</w:t>
      </w:r>
      <w:r w:rsidRPr="00B708D3">
        <w:rPr>
          <w:rFonts w:ascii="Garamond" w:hAnsi="Garamond"/>
        </w:rPr>
        <w:t xml:space="preserve"> </w:t>
      </w:r>
      <w:r w:rsidR="009E4628" w:rsidRPr="00B708D3">
        <w:rPr>
          <w:rFonts w:ascii="Garamond" w:hAnsi="Garamond"/>
        </w:rPr>
        <w:t xml:space="preserve">on </w:t>
      </w:r>
      <w:r w:rsidRPr="00B708D3">
        <w:rPr>
          <w:rFonts w:ascii="Garamond" w:hAnsi="Garamond"/>
        </w:rPr>
        <w:t>showing the connection between immediate outcomes and the HIT attributes.  In</w:t>
      </w:r>
      <w:r w:rsidR="009E4628" w:rsidRPr="00B708D3">
        <w:rPr>
          <w:rFonts w:ascii="Garamond" w:hAnsi="Garamond"/>
        </w:rPr>
        <w:t>ference to longer term outcomes</w:t>
      </w:r>
      <w:r w:rsidRPr="00B708D3">
        <w:rPr>
          <w:rFonts w:ascii="Garamond" w:hAnsi="Garamond"/>
        </w:rPr>
        <w:t xml:space="preserve"> </w:t>
      </w:r>
      <w:r w:rsidR="004172D9" w:rsidRPr="00B708D3">
        <w:rPr>
          <w:rFonts w:ascii="Garamond" w:hAnsi="Garamond"/>
        </w:rPr>
        <w:t xml:space="preserve">will not usually be possible, </w:t>
      </w:r>
      <w:r w:rsidRPr="00B708D3">
        <w:rPr>
          <w:rFonts w:ascii="Garamond" w:hAnsi="Garamond"/>
        </w:rPr>
        <w:t xml:space="preserve">but </w:t>
      </w:r>
      <w:r w:rsidR="004172D9" w:rsidRPr="00B708D3">
        <w:rPr>
          <w:rFonts w:ascii="Garamond" w:hAnsi="Garamond"/>
        </w:rPr>
        <w:t xml:space="preserve">may </w:t>
      </w:r>
      <w:r w:rsidRPr="00B708D3">
        <w:rPr>
          <w:rFonts w:ascii="Garamond" w:hAnsi="Garamond"/>
        </w:rPr>
        <w:t xml:space="preserve">be inferred on the basis of information in the literature. Several examples follow that show how one might assess HIT results chains using quasi-experimental methodology.   </w:t>
      </w:r>
    </w:p>
    <w:p w:rsidR="0049168C" w:rsidRPr="00B708D3" w:rsidRDefault="0049168C" w:rsidP="00EA1AB8">
      <w:pPr>
        <w:rPr>
          <w:rFonts w:ascii="Garamond" w:hAnsi="Garamond"/>
        </w:rPr>
      </w:pPr>
    </w:p>
    <w:p w:rsidR="0049168C" w:rsidRPr="00B708D3" w:rsidRDefault="00AA36D1" w:rsidP="00EA1AB8">
      <w:pPr>
        <w:rPr>
          <w:rFonts w:ascii="Garamond" w:hAnsi="Garamond"/>
          <w:i/>
        </w:rPr>
      </w:pPr>
      <w:r w:rsidRPr="00B708D3">
        <w:rPr>
          <w:rFonts w:ascii="Garamond" w:hAnsi="Garamond"/>
          <w:i/>
        </w:rPr>
        <w:t>Example 1</w:t>
      </w:r>
      <w:r w:rsidR="0049168C" w:rsidRPr="00B708D3">
        <w:rPr>
          <w:rFonts w:ascii="Garamond" w:hAnsi="Garamond"/>
          <w:i/>
        </w:rPr>
        <w:t>: Cancer screening (</w:t>
      </w:r>
      <w:r w:rsidR="003F52DF" w:rsidRPr="00B708D3">
        <w:rPr>
          <w:rFonts w:ascii="Garamond" w:hAnsi="Garamond"/>
          <w:i/>
        </w:rPr>
        <w:t>Health information - A</w:t>
      </w:r>
      <w:r w:rsidR="0049168C" w:rsidRPr="00B708D3">
        <w:rPr>
          <w:rFonts w:ascii="Garamond" w:hAnsi="Garamond"/>
          <w:i/>
        </w:rPr>
        <w:t>ttribute 1)</w:t>
      </w:r>
    </w:p>
    <w:p w:rsidR="003F52DF" w:rsidRPr="00B708D3" w:rsidRDefault="003F52DF" w:rsidP="00EA1AB8">
      <w:pPr>
        <w:rPr>
          <w:rFonts w:ascii="Garamond" w:hAnsi="Garamond"/>
          <w:i/>
        </w:rPr>
      </w:pPr>
    </w:p>
    <w:p w:rsidR="00AA36D1" w:rsidRPr="00B708D3" w:rsidRDefault="003F52DF" w:rsidP="00EA1AB8">
      <w:pPr>
        <w:rPr>
          <w:rFonts w:ascii="Garamond" w:hAnsi="Garamond"/>
        </w:rPr>
      </w:pPr>
      <w:r w:rsidRPr="00B708D3">
        <w:rPr>
          <w:rFonts w:ascii="Garamond" w:hAnsi="Garamond"/>
        </w:rPr>
        <w:t xml:space="preserve">Cancer screening rests on the assumption that treating cancers early reduces mortality, extends life, and lowers costs of care.  It is possible to forecast elements of these benefits using a variety of models.  For example, it is possible to show lower treatment costs over the long term as a result of increased use of the </w:t>
      </w:r>
      <w:r w:rsidR="00DD5CFA" w:rsidRPr="00B708D3">
        <w:rPr>
          <w:rFonts w:ascii="Garamond" w:hAnsi="Garamond"/>
        </w:rPr>
        <w:t>fecal occult blood test (</w:t>
      </w:r>
      <w:r w:rsidRPr="00B708D3">
        <w:rPr>
          <w:rFonts w:ascii="Garamond" w:hAnsi="Garamond"/>
        </w:rPr>
        <w:t>FOBT</w:t>
      </w:r>
      <w:r w:rsidR="00DD5CFA" w:rsidRPr="00B708D3">
        <w:rPr>
          <w:rFonts w:ascii="Garamond" w:hAnsi="Garamond"/>
        </w:rPr>
        <w:t>)</w:t>
      </w:r>
      <w:r w:rsidRPr="00B708D3">
        <w:rPr>
          <w:rFonts w:ascii="Garamond" w:hAnsi="Garamond"/>
        </w:rPr>
        <w:t xml:space="preserve"> and mammograms (</w:t>
      </w:r>
      <w:r w:rsidR="00AA36D1" w:rsidRPr="00B708D3">
        <w:rPr>
          <w:rFonts w:ascii="Garamond" w:hAnsi="Garamond"/>
        </w:rPr>
        <w:t>Will</w:t>
      </w:r>
      <w:r w:rsidR="00DD5CFA" w:rsidRPr="00B708D3">
        <w:rPr>
          <w:rFonts w:ascii="Garamond" w:hAnsi="Garamond"/>
        </w:rPr>
        <w:t>,</w:t>
      </w:r>
      <w:r w:rsidR="00AA36D1" w:rsidRPr="00B708D3">
        <w:rPr>
          <w:rFonts w:ascii="Garamond" w:hAnsi="Garamond"/>
        </w:rPr>
        <w:t xml:space="preserve"> B.</w:t>
      </w:r>
      <w:r w:rsidR="006A4CA4" w:rsidRPr="00B708D3">
        <w:rPr>
          <w:rFonts w:ascii="Garamond" w:hAnsi="Garamond"/>
        </w:rPr>
        <w:t>P. et.</w:t>
      </w:r>
      <w:r w:rsidR="002F3ADF">
        <w:rPr>
          <w:rFonts w:ascii="Garamond" w:hAnsi="Garamond"/>
        </w:rPr>
        <w:t xml:space="preserve"> </w:t>
      </w:r>
      <w:r w:rsidR="006A4CA4" w:rsidRPr="00B708D3">
        <w:rPr>
          <w:rFonts w:ascii="Garamond" w:hAnsi="Garamond"/>
        </w:rPr>
        <w:t>al.</w:t>
      </w:r>
      <w:r w:rsidR="00AA36D1" w:rsidRPr="00B708D3">
        <w:rPr>
          <w:rFonts w:ascii="Garamond" w:hAnsi="Garamond"/>
        </w:rPr>
        <w:t xml:space="preserve"> 2000). </w:t>
      </w:r>
      <w:r w:rsidRPr="00B708D3">
        <w:rPr>
          <w:rFonts w:ascii="Garamond" w:hAnsi="Garamond"/>
        </w:rPr>
        <w:t xml:space="preserve">If health practitioners with HIT have a higher rate of screening for those at risk (lifestyle or family history) than those not using HIT, then the financial benefits of </w:t>
      </w:r>
      <w:r w:rsidR="00AA36D1" w:rsidRPr="00B708D3">
        <w:rPr>
          <w:rFonts w:ascii="Garamond" w:hAnsi="Garamond"/>
        </w:rPr>
        <w:t>using electronic medical records can be quantified in terms of reduced treatment costs, extended work lives, etc</w:t>
      </w:r>
      <w:r w:rsidR="00DD6C6C" w:rsidRPr="00B708D3">
        <w:rPr>
          <w:rFonts w:ascii="Garamond" w:hAnsi="Garamond"/>
        </w:rPr>
        <w:t xml:space="preserve">. (Heitman, Hilsden, Au, Dowden, &amp; Manns, </w:t>
      </w:r>
      <w:r w:rsidR="004843FC" w:rsidRPr="00B708D3">
        <w:rPr>
          <w:rFonts w:ascii="Garamond" w:hAnsi="Garamond"/>
        </w:rPr>
        <w:t xml:space="preserve">2010 and </w:t>
      </w:r>
      <w:r w:rsidR="00DD5CFA" w:rsidRPr="00B708D3">
        <w:rPr>
          <w:rFonts w:ascii="Garamond" w:hAnsi="Garamond"/>
        </w:rPr>
        <w:t>Greif,</w:t>
      </w:r>
      <w:r w:rsidR="004843FC" w:rsidRPr="00B708D3">
        <w:rPr>
          <w:rFonts w:ascii="Garamond" w:hAnsi="Garamond"/>
        </w:rPr>
        <w:t xml:space="preserve"> 2009)</w:t>
      </w:r>
      <w:r w:rsidR="00AA36D1" w:rsidRPr="00B708D3">
        <w:rPr>
          <w:rFonts w:ascii="Garamond" w:hAnsi="Garamond"/>
        </w:rPr>
        <w:t xml:space="preserve">.  Manitoba </w:t>
      </w:r>
      <w:r w:rsidR="004172D9" w:rsidRPr="00B708D3">
        <w:rPr>
          <w:rFonts w:ascii="Garamond" w:hAnsi="Garamond"/>
        </w:rPr>
        <w:t>H</w:t>
      </w:r>
      <w:r w:rsidR="00AA36D1" w:rsidRPr="00B708D3">
        <w:rPr>
          <w:rFonts w:ascii="Garamond" w:hAnsi="Garamond"/>
        </w:rPr>
        <w:t>ealth (2011) presents a Markov model of the cost savings arising from three cancer screening programs (colorectal, breast</w:t>
      </w:r>
      <w:r w:rsidR="004843FC" w:rsidRPr="00B708D3">
        <w:rPr>
          <w:rFonts w:ascii="Garamond" w:hAnsi="Garamond"/>
        </w:rPr>
        <w:t>,</w:t>
      </w:r>
      <w:r w:rsidR="00AA36D1" w:rsidRPr="00B708D3">
        <w:rPr>
          <w:rFonts w:ascii="Garamond" w:hAnsi="Garamond"/>
        </w:rPr>
        <w:t xml:space="preserve"> and cervix)</w:t>
      </w:r>
      <w:r w:rsidR="004172D9" w:rsidRPr="00B708D3">
        <w:rPr>
          <w:rFonts w:ascii="Garamond" w:hAnsi="Garamond"/>
        </w:rPr>
        <w:t>.  Using this form of simulation analysis will support an estimate of the system cost savings from increased screening</w:t>
      </w:r>
      <w:r w:rsidR="004843FC" w:rsidRPr="00B708D3">
        <w:rPr>
          <w:rFonts w:ascii="Garamond" w:hAnsi="Garamond"/>
        </w:rPr>
        <w:t>,</w:t>
      </w:r>
      <w:r w:rsidR="004172D9" w:rsidRPr="00B708D3">
        <w:rPr>
          <w:rFonts w:ascii="Garamond" w:hAnsi="Garamond"/>
        </w:rPr>
        <w:t xml:space="preserve"> and this forms part of the value for money benefit of HIT.   Extending this to estimate the recovered time and quality of life will only increase the measure of benefit. </w:t>
      </w:r>
    </w:p>
    <w:p w:rsidR="004172D9" w:rsidRPr="00B708D3" w:rsidRDefault="004172D9" w:rsidP="00EA1AB8">
      <w:pPr>
        <w:rPr>
          <w:rFonts w:ascii="Garamond" w:hAnsi="Garamond"/>
        </w:rPr>
      </w:pPr>
    </w:p>
    <w:p w:rsidR="00AA36D1" w:rsidRPr="00B708D3" w:rsidRDefault="00AA36D1" w:rsidP="00EA1AB8">
      <w:pPr>
        <w:rPr>
          <w:rFonts w:ascii="Garamond" w:hAnsi="Garamond"/>
        </w:rPr>
      </w:pPr>
      <w:r w:rsidRPr="00B708D3">
        <w:rPr>
          <w:rFonts w:ascii="Garamond" w:hAnsi="Garamond"/>
        </w:rPr>
        <w:t xml:space="preserve">The important caveat is that the projected future benefits of screening need to </w:t>
      </w:r>
      <w:r w:rsidR="004172D9" w:rsidRPr="00B708D3">
        <w:rPr>
          <w:rFonts w:ascii="Garamond" w:hAnsi="Garamond"/>
        </w:rPr>
        <w:t>be unambiguous</w:t>
      </w:r>
      <w:r w:rsidR="004843FC" w:rsidRPr="00B708D3">
        <w:rPr>
          <w:rFonts w:ascii="Garamond" w:hAnsi="Garamond"/>
        </w:rPr>
        <w:t xml:space="preserve">.  While </w:t>
      </w:r>
      <w:r w:rsidRPr="00B708D3">
        <w:rPr>
          <w:rFonts w:ascii="Garamond" w:hAnsi="Garamond"/>
        </w:rPr>
        <w:t>screening for breast and colorectal cancers form</w:t>
      </w:r>
      <w:r w:rsidR="004843FC" w:rsidRPr="00B708D3">
        <w:rPr>
          <w:rFonts w:ascii="Garamond" w:hAnsi="Garamond"/>
        </w:rPr>
        <w:t>s a standard element of evidence-</w:t>
      </w:r>
      <w:r w:rsidRPr="00B708D3">
        <w:rPr>
          <w:rFonts w:ascii="Garamond" w:hAnsi="Garamond"/>
        </w:rPr>
        <w:t xml:space="preserve">based primary care, screening is also controversial.  The recent reconsideration of PSA testing is a case in point. Other concerns have emerged that qualify the universal support </w:t>
      </w:r>
      <w:r w:rsidR="00173BEE" w:rsidRPr="00B708D3">
        <w:rPr>
          <w:rFonts w:ascii="Garamond" w:hAnsi="Garamond"/>
        </w:rPr>
        <w:t>for cancer screening (Berg 2010; Brawley et. al. 2011;</w:t>
      </w:r>
      <w:r w:rsidR="000F2F4B" w:rsidRPr="00B708D3">
        <w:rPr>
          <w:rFonts w:ascii="Garamond" w:hAnsi="Garamond"/>
        </w:rPr>
        <w:t xml:space="preserve"> Brodersen, Jorgensen, &amp; Gotzsche, </w:t>
      </w:r>
      <w:r w:rsidRPr="00B708D3">
        <w:rPr>
          <w:rFonts w:ascii="Garamond" w:hAnsi="Garamond"/>
        </w:rPr>
        <w:t>2010</w:t>
      </w:r>
      <w:r w:rsidR="000F2F4B" w:rsidRPr="00B708D3">
        <w:rPr>
          <w:rFonts w:ascii="Garamond" w:hAnsi="Garamond"/>
        </w:rPr>
        <w:t>;</w:t>
      </w:r>
      <w:r w:rsidRPr="00B708D3">
        <w:rPr>
          <w:rFonts w:ascii="Garamond" w:hAnsi="Garamond"/>
        </w:rPr>
        <w:t xml:space="preserve"> and Wo</w:t>
      </w:r>
      <w:r w:rsidR="006A4CA4" w:rsidRPr="00B708D3">
        <w:rPr>
          <w:rFonts w:ascii="Garamond" w:hAnsi="Garamond"/>
        </w:rPr>
        <w:t>o</w:t>
      </w:r>
      <w:r w:rsidRPr="00B708D3">
        <w:rPr>
          <w:rFonts w:ascii="Garamond" w:hAnsi="Garamond"/>
        </w:rPr>
        <w:t>lf &amp; Harris</w:t>
      </w:r>
      <w:r w:rsidR="000F2F4B" w:rsidRPr="00B708D3">
        <w:rPr>
          <w:rFonts w:ascii="Garamond" w:hAnsi="Garamond"/>
        </w:rPr>
        <w:t>,</w:t>
      </w:r>
      <w:r w:rsidRPr="00B708D3">
        <w:rPr>
          <w:rFonts w:ascii="Garamond" w:hAnsi="Garamond"/>
        </w:rPr>
        <w:t xml:space="preserve"> 2012).  If screening poses harms, then HIT that increases participation in screening may reflect a negative return. </w:t>
      </w:r>
      <w:r w:rsidR="004172D9" w:rsidRPr="00B708D3">
        <w:rPr>
          <w:rFonts w:ascii="Garamond" w:hAnsi="Garamond"/>
        </w:rPr>
        <w:t>At this time, t</w:t>
      </w:r>
      <w:r w:rsidR="004843FC" w:rsidRPr="00B708D3">
        <w:rPr>
          <w:rFonts w:ascii="Garamond" w:hAnsi="Garamond"/>
        </w:rPr>
        <w:t>he weight of evidence-</w:t>
      </w:r>
      <w:r w:rsidRPr="00B708D3">
        <w:rPr>
          <w:rFonts w:ascii="Garamond" w:hAnsi="Garamond"/>
        </w:rPr>
        <w:t>based guidelines appears to support screening, and</w:t>
      </w:r>
      <w:r w:rsidRPr="00265269">
        <w:rPr>
          <w:rFonts w:ascii="Garamond" w:hAnsi="Garamond"/>
        </w:rPr>
        <w:t xml:space="preserve"> </w:t>
      </w:r>
      <w:r w:rsidRPr="00B708D3">
        <w:rPr>
          <w:rFonts w:ascii="Garamond" w:hAnsi="Garamond"/>
        </w:rPr>
        <w:t>therefore</w:t>
      </w:r>
      <w:r w:rsidR="004843FC" w:rsidRPr="00B708D3">
        <w:rPr>
          <w:rFonts w:ascii="Garamond" w:hAnsi="Garamond"/>
        </w:rPr>
        <w:t>,</w:t>
      </w:r>
      <w:r w:rsidRPr="00B708D3">
        <w:rPr>
          <w:rFonts w:ascii="Garamond" w:hAnsi="Garamond"/>
        </w:rPr>
        <w:t xml:space="preserve"> using projections of benefit based on increased activity would seem to remain a reasonable method for inferring benefit of HIT.  The lesson is clear.  The creation of a value statement about HIT depends on the validity of the immediate outcomes that derive from the behaviour change induced</w:t>
      </w:r>
      <w:r w:rsidR="00265269" w:rsidRPr="00B708D3">
        <w:rPr>
          <w:rFonts w:ascii="Garamond" w:hAnsi="Garamond"/>
        </w:rPr>
        <w:t xml:space="preserve">. </w:t>
      </w:r>
      <w:r w:rsidRPr="00B708D3">
        <w:rPr>
          <w:rFonts w:ascii="Garamond" w:hAnsi="Garamond"/>
        </w:rPr>
        <w:t xml:space="preserve">  </w:t>
      </w:r>
    </w:p>
    <w:p w:rsidR="003F52DF" w:rsidRPr="00B708D3" w:rsidRDefault="003F52DF" w:rsidP="003F52DF">
      <w:pPr>
        <w:rPr>
          <w:rFonts w:ascii="Garamond" w:hAnsi="Garamond"/>
        </w:rPr>
      </w:pPr>
    </w:p>
    <w:p w:rsidR="003F52DF" w:rsidRPr="00B708D3" w:rsidRDefault="003F52DF" w:rsidP="003F52DF">
      <w:pPr>
        <w:rPr>
          <w:rFonts w:ascii="Garamond" w:hAnsi="Garamond"/>
          <w:i/>
        </w:rPr>
      </w:pPr>
      <w:r w:rsidRPr="00B708D3">
        <w:rPr>
          <w:rFonts w:ascii="Garamond" w:hAnsi="Garamond"/>
          <w:i/>
        </w:rPr>
        <w:t xml:space="preserve">Example </w:t>
      </w:r>
      <w:r w:rsidR="004172D9" w:rsidRPr="00B708D3">
        <w:rPr>
          <w:rFonts w:ascii="Garamond" w:hAnsi="Garamond"/>
          <w:i/>
        </w:rPr>
        <w:t>2</w:t>
      </w:r>
      <w:r w:rsidRPr="00B708D3">
        <w:rPr>
          <w:rFonts w:ascii="Garamond" w:hAnsi="Garamond"/>
          <w:i/>
        </w:rPr>
        <w:t>: Influenza immunization (Patient engagement - Attribute 4)</w:t>
      </w:r>
    </w:p>
    <w:p w:rsidR="0049168C" w:rsidRPr="00B708D3" w:rsidRDefault="0049168C" w:rsidP="00EA1AB8">
      <w:pPr>
        <w:rPr>
          <w:rFonts w:ascii="Garamond" w:hAnsi="Garamond"/>
        </w:rPr>
      </w:pPr>
    </w:p>
    <w:p w:rsidR="00AA36D1" w:rsidRPr="00B708D3" w:rsidRDefault="00AA36D1" w:rsidP="00EA1AB8">
      <w:pPr>
        <w:rPr>
          <w:rFonts w:ascii="Garamond" w:hAnsi="Garamond"/>
        </w:rPr>
      </w:pPr>
      <w:r w:rsidRPr="00B708D3">
        <w:rPr>
          <w:rFonts w:ascii="Garamond" w:hAnsi="Garamond"/>
        </w:rPr>
        <w:t>The economic benefits arisin</w:t>
      </w:r>
      <w:r w:rsidR="004843FC" w:rsidRPr="00B708D3">
        <w:rPr>
          <w:rFonts w:ascii="Garamond" w:hAnsi="Garamond"/>
        </w:rPr>
        <w:t>g from flu vaccination are well-</w:t>
      </w:r>
      <w:r w:rsidRPr="00B708D3">
        <w:rPr>
          <w:rFonts w:ascii="Garamond" w:hAnsi="Garamond"/>
        </w:rPr>
        <w:t>document</w:t>
      </w:r>
      <w:r w:rsidR="004172D9" w:rsidRPr="00B708D3">
        <w:rPr>
          <w:rFonts w:ascii="Garamond" w:hAnsi="Garamond"/>
        </w:rPr>
        <w:t>ed</w:t>
      </w:r>
      <w:r w:rsidRPr="00B708D3">
        <w:rPr>
          <w:rFonts w:ascii="Garamond" w:hAnsi="Garamond"/>
        </w:rPr>
        <w:t xml:space="preserve"> (Lee </w:t>
      </w:r>
      <w:r w:rsidR="00753D8C" w:rsidRPr="00B708D3">
        <w:rPr>
          <w:rFonts w:ascii="Garamond" w:hAnsi="Garamond"/>
        </w:rPr>
        <w:t xml:space="preserve">et al., </w:t>
      </w:r>
      <w:r w:rsidRPr="00B708D3">
        <w:rPr>
          <w:rFonts w:ascii="Garamond" w:hAnsi="Garamond"/>
        </w:rPr>
        <w:t>2010).  Indeed</w:t>
      </w:r>
      <w:r w:rsidR="004843FC" w:rsidRPr="00B708D3">
        <w:rPr>
          <w:rFonts w:ascii="Garamond" w:hAnsi="Garamond"/>
        </w:rPr>
        <w:t>,</w:t>
      </w:r>
      <w:r w:rsidRPr="00B708D3">
        <w:rPr>
          <w:rFonts w:ascii="Garamond" w:hAnsi="Garamond"/>
        </w:rPr>
        <w:t xml:space="preserve"> since the original Axnick study (Axnick 1969), immunization has been associated with positive economic benefits, typically arising from the recovered work time and associated lifetime wages</w:t>
      </w:r>
      <w:r w:rsidR="004172D9" w:rsidRPr="00B708D3">
        <w:rPr>
          <w:rFonts w:ascii="Garamond" w:hAnsi="Garamond"/>
        </w:rPr>
        <w:t xml:space="preserve"> as well as reduced care for those </w:t>
      </w:r>
      <w:r w:rsidR="004843FC" w:rsidRPr="00B708D3">
        <w:rPr>
          <w:rFonts w:ascii="Garamond" w:hAnsi="Garamond"/>
        </w:rPr>
        <w:t>who</w:t>
      </w:r>
      <w:r w:rsidR="004172D9" w:rsidRPr="00B708D3">
        <w:rPr>
          <w:rFonts w:ascii="Garamond" w:hAnsi="Garamond"/>
        </w:rPr>
        <w:t xml:space="preserve"> may experience serious adverse effects of the disease.</w:t>
      </w:r>
    </w:p>
    <w:p w:rsidR="00AA36D1" w:rsidRPr="00B708D3" w:rsidRDefault="00AA36D1" w:rsidP="00EA1AB8">
      <w:pPr>
        <w:rPr>
          <w:rFonts w:ascii="Garamond" w:hAnsi="Garamond"/>
        </w:rPr>
      </w:pPr>
    </w:p>
    <w:p w:rsidR="00AA36D1" w:rsidRPr="00B708D3" w:rsidRDefault="00AA36D1" w:rsidP="00EA1AB8">
      <w:pPr>
        <w:rPr>
          <w:rFonts w:ascii="Garamond" w:hAnsi="Garamond"/>
        </w:rPr>
      </w:pPr>
      <w:r w:rsidRPr="00B708D3">
        <w:rPr>
          <w:rFonts w:ascii="Garamond" w:hAnsi="Garamond"/>
        </w:rPr>
        <w:t xml:space="preserve">The process of establishing value for money </w:t>
      </w:r>
      <w:r w:rsidR="00806145" w:rsidRPr="00B708D3">
        <w:rPr>
          <w:rFonts w:ascii="Garamond" w:hAnsi="Garamond"/>
        </w:rPr>
        <w:t xml:space="preserve">for immunization </w:t>
      </w:r>
      <w:r w:rsidRPr="00B708D3">
        <w:rPr>
          <w:rFonts w:ascii="Garamond" w:hAnsi="Garamond"/>
        </w:rPr>
        <w:t xml:space="preserve">would be similar </w:t>
      </w:r>
      <w:r w:rsidR="00806145" w:rsidRPr="00B708D3">
        <w:rPr>
          <w:rFonts w:ascii="Garamond" w:hAnsi="Garamond"/>
        </w:rPr>
        <w:t>to the process used for</w:t>
      </w:r>
      <w:r w:rsidRPr="00B708D3">
        <w:rPr>
          <w:rFonts w:ascii="Garamond" w:hAnsi="Garamond"/>
        </w:rPr>
        <w:t xml:space="preserve"> cancer screening.  The incremental value of HIT in this attribute would simply be the projected economic future returns from vaccination accruing to the increased numbers who participate in vaccinations due to the use of these</w:t>
      </w:r>
      <w:r w:rsidR="004843FC" w:rsidRPr="00B708D3">
        <w:rPr>
          <w:rFonts w:ascii="Garamond" w:hAnsi="Garamond"/>
        </w:rPr>
        <w:t xml:space="preserve"> technologies by practitioners.</w:t>
      </w:r>
      <w:r w:rsidRPr="00B708D3">
        <w:rPr>
          <w:rFonts w:ascii="Garamond" w:hAnsi="Garamond"/>
        </w:rPr>
        <w:t xml:space="preserve">  The critical requirement is to establish incremental participation in flu vaccination due to the use of HIT</w:t>
      </w:r>
      <w:r w:rsidR="004843FC" w:rsidRPr="00B708D3">
        <w:rPr>
          <w:rFonts w:ascii="Garamond" w:hAnsi="Garamond"/>
        </w:rPr>
        <w:t>,</w:t>
      </w:r>
      <w:r w:rsidRPr="00B708D3">
        <w:rPr>
          <w:rFonts w:ascii="Garamond" w:hAnsi="Garamond"/>
        </w:rPr>
        <w:t xml:space="preserve"> since so much public health policy exists to raise participation rates.  This illustrates the nature of the challenges to measuring the benefits of HIT.</w:t>
      </w:r>
    </w:p>
    <w:p w:rsidR="00AA36D1" w:rsidRPr="00B708D3" w:rsidRDefault="00AA36D1" w:rsidP="00EA1AB8">
      <w:pPr>
        <w:rPr>
          <w:rFonts w:ascii="Garamond" w:hAnsi="Garamond"/>
        </w:rPr>
      </w:pPr>
    </w:p>
    <w:p w:rsidR="0049168C" w:rsidRPr="00B708D3" w:rsidRDefault="0049168C" w:rsidP="00EA1AB8">
      <w:pPr>
        <w:rPr>
          <w:rFonts w:ascii="Garamond" w:hAnsi="Garamond"/>
          <w:i/>
        </w:rPr>
      </w:pPr>
      <w:r w:rsidRPr="00B708D3">
        <w:rPr>
          <w:rFonts w:ascii="Garamond" w:hAnsi="Garamond"/>
          <w:i/>
        </w:rPr>
        <w:t>Exampl</w:t>
      </w:r>
      <w:r w:rsidR="003F52DF" w:rsidRPr="00B708D3">
        <w:rPr>
          <w:rFonts w:ascii="Garamond" w:hAnsi="Garamond"/>
          <w:i/>
        </w:rPr>
        <w:t>e</w:t>
      </w:r>
      <w:r w:rsidRPr="00B708D3">
        <w:rPr>
          <w:rFonts w:ascii="Garamond" w:hAnsi="Garamond"/>
          <w:i/>
        </w:rPr>
        <w:t xml:space="preserve"> 3: </w:t>
      </w:r>
      <w:r w:rsidR="003F52DF" w:rsidRPr="00B708D3">
        <w:rPr>
          <w:rFonts w:ascii="Garamond" w:hAnsi="Garamond"/>
          <w:i/>
        </w:rPr>
        <w:t>Diabetes</w:t>
      </w:r>
      <w:r w:rsidR="005D1C4C" w:rsidRPr="00B708D3">
        <w:rPr>
          <w:rFonts w:ascii="Garamond" w:hAnsi="Garamond"/>
          <w:i/>
        </w:rPr>
        <w:t xml:space="preserve"> managed proactively (Decision s</w:t>
      </w:r>
      <w:r w:rsidR="003F52DF" w:rsidRPr="00B708D3">
        <w:rPr>
          <w:rFonts w:ascii="Garamond" w:hAnsi="Garamond"/>
          <w:i/>
        </w:rPr>
        <w:t>upport – Attribute 5)</w:t>
      </w:r>
    </w:p>
    <w:p w:rsidR="00AA36D1" w:rsidRPr="00B708D3" w:rsidRDefault="00AA36D1" w:rsidP="00EA1AB8">
      <w:pPr>
        <w:rPr>
          <w:rFonts w:ascii="Garamond" w:hAnsi="Garamond"/>
          <w:i/>
        </w:rPr>
      </w:pPr>
    </w:p>
    <w:p w:rsidR="00AA36D1" w:rsidRPr="00B708D3" w:rsidRDefault="00AA36D1" w:rsidP="00EA1AB8">
      <w:pPr>
        <w:rPr>
          <w:rFonts w:ascii="Garamond" w:hAnsi="Garamond"/>
        </w:rPr>
      </w:pPr>
      <w:r w:rsidRPr="00B708D3">
        <w:rPr>
          <w:rFonts w:ascii="Garamond" w:hAnsi="Garamond"/>
        </w:rPr>
        <w:t>A commonly cited advantage of increased capacity in primary care is improved management of chronic conditions such as diabetes.  This improved care may arise through better management of “pre-diabetic” conditions in an effort to forestall the onset of full diabetes and in the management of those with diagnosed diabetes to delay co-morbidities that shorten life and draw heavily on heal</w:t>
      </w:r>
      <w:r w:rsidR="005D1C4C" w:rsidRPr="00B708D3">
        <w:rPr>
          <w:rFonts w:ascii="Garamond" w:hAnsi="Garamond"/>
        </w:rPr>
        <w:t xml:space="preserve">th system resources. </w:t>
      </w:r>
      <w:r w:rsidR="006A4CA4" w:rsidRPr="00B708D3">
        <w:rPr>
          <w:rFonts w:ascii="Garamond" w:hAnsi="Garamond"/>
        </w:rPr>
        <w:t>O’Brie</w:t>
      </w:r>
      <w:r w:rsidR="005D1C4C" w:rsidRPr="00B708D3">
        <w:rPr>
          <w:rFonts w:ascii="Garamond" w:hAnsi="Garamond"/>
        </w:rPr>
        <w:t>n et</w:t>
      </w:r>
      <w:r w:rsidRPr="00B708D3">
        <w:rPr>
          <w:rFonts w:ascii="Garamond" w:hAnsi="Garamond"/>
        </w:rPr>
        <w:t xml:space="preserve"> al. </w:t>
      </w:r>
      <w:r w:rsidR="00DD5CFA" w:rsidRPr="00B708D3">
        <w:rPr>
          <w:rFonts w:ascii="Garamond" w:hAnsi="Garamond"/>
        </w:rPr>
        <w:t>(</w:t>
      </w:r>
      <w:r w:rsidR="005D1C4C" w:rsidRPr="00B708D3">
        <w:rPr>
          <w:rFonts w:ascii="Garamond" w:hAnsi="Garamond"/>
        </w:rPr>
        <w:t>2003</w:t>
      </w:r>
      <w:r w:rsidR="00DD5CFA" w:rsidRPr="00B708D3">
        <w:rPr>
          <w:rFonts w:ascii="Garamond" w:hAnsi="Garamond"/>
        </w:rPr>
        <w:t>)</w:t>
      </w:r>
      <w:r w:rsidR="005D1C4C" w:rsidRPr="00B708D3">
        <w:rPr>
          <w:rFonts w:ascii="Garamond" w:hAnsi="Garamond"/>
        </w:rPr>
        <w:t xml:space="preserve"> and Stevens et</w:t>
      </w:r>
      <w:r w:rsidRPr="00B708D3">
        <w:rPr>
          <w:rFonts w:ascii="Garamond" w:hAnsi="Garamond"/>
        </w:rPr>
        <w:t xml:space="preserve"> al. </w:t>
      </w:r>
      <w:r w:rsidR="00DD5CFA" w:rsidRPr="00B708D3">
        <w:rPr>
          <w:rFonts w:ascii="Garamond" w:hAnsi="Garamond"/>
        </w:rPr>
        <w:t>(</w:t>
      </w:r>
      <w:r w:rsidRPr="00B708D3">
        <w:rPr>
          <w:rFonts w:ascii="Garamond" w:hAnsi="Garamond"/>
        </w:rPr>
        <w:t>2004</w:t>
      </w:r>
      <w:r w:rsidR="00DD5CFA" w:rsidRPr="00B708D3">
        <w:rPr>
          <w:rFonts w:ascii="Garamond" w:hAnsi="Garamond"/>
        </w:rPr>
        <w:t>)</w:t>
      </w:r>
      <w:r w:rsidRPr="00B708D3">
        <w:rPr>
          <w:rFonts w:ascii="Garamond" w:hAnsi="Garamond"/>
        </w:rPr>
        <w:t xml:space="preserve"> are examples of this literature.</w:t>
      </w:r>
    </w:p>
    <w:p w:rsidR="0049168C" w:rsidRPr="00B708D3" w:rsidRDefault="0049168C" w:rsidP="00EA1AB8">
      <w:pPr>
        <w:rPr>
          <w:rFonts w:ascii="Garamond" w:hAnsi="Garamond"/>
        </w:rPr>
      </w:pPr>
    </w:p>
    <w:p w:rsidR="00AA36D1" w:rsidRPr="00B708D3" w:rsidRDefault="00AA36D1" w:rsidP="00EA1AB8">
      <w:pPr>
        <w:rPr>
          <w:rFonts w:ascii="Garamond" w:hAnsi="Garamond"/>
        </w:rPr>
      </w:pPr>
      <w:r w:rsidRPr="00B708D3">
        <w:rPr>
          <w:rFonts w:ascii="Garamond" w:hAnsi="Garamond"/>
        </w:rPr>
        <w:t xml:space="preserve">As with projections of lifetime costs of detecting cancers early, it is possible to associate increased management of diabetes </w:t>
      </w:r>
      <w:r w:rsidR="005D1C4C" w:rsidRPr="00B708D3">
        <w:rPr>
          <w:rFonts w:ascii="Garamond" w:hAnsi="Garamond"/>
        </w:rPr>
        <w:t>with cost reductions.  HIT-e</w:t>
      </w:r>
      <w:r w:rsidRPr="00B708D3">
        <w:rPr>
          <w:rFonts w:ascii="Garamond" w:hAnsi="Garamond"/>
        </w:rPr>
        <w:t>nabled primary care is presumed to improve the practitioner’s capacity to manage patients to specific standards.  Maintaining blood pressure and blood lipid control are two central strategies to managing the emergence of co-morbidities associated with diabetes.  Aside from prolonging quality of life (including attachment to the workforce)</w:t>
      </w:r>
      <w:r w:rsidR="005D1C4C" w:rsidRPr="00B708D3">
        <w:rPr>
          <w:rFonts w:ascii="Garamond" w:hAnsi="Garamond"/>
        </w:rPr>
        <w:t>,</w:t>
      </w:r>
      <w:r w:rsidRPr="00B708D3">
        <w:rPr>
          <w:rFonts w:ascii="Garamond" w:hAnsi="Garamond"/>
        </w:rPr>
        <w:t xml:space="preserve"> systems savings accrue from delaying the need for complex procedu</w:t>
      </w:r>
      <w:r w:rsidR="005D1C4C" w:rsidRPr="00B708D3">
        <w:rPr>
          <w:rFonts w:ascii="Garamond" w:hAnsi="Garamond"/>
        </w:rPr>
        <w:t>res such as dialysis. Manitoba H</w:t>
      </w:r>
      <w:r w:rsidRPr="00B708D3">
        <w:rPr>
          <w:rFonts w:ascii="Garamond" w:hAnsi="Garamond"/>
        </w:rPr>
        <w:t>ealth (2011) presents a Markov model of the cost savings arising from improved management of diabetes.</w:t>
      </w:r>
    </w:p>
    <w:p w:rsidR="00AA36D1" w:rsidRPr="00B708D3" w:rsidRDefault="00AA36D1" w:rsidP="00EA1AB8">
      <w:pPr>
        <w:rPr>
          <w:rFonts w:ascii="Garamond" w:hAnsi="Garamond"/>
        </w:rPr>
      </w:pPr>
    </w:p>
    <w:p w:rsidR="00AA36D1" w:rsidRPr="00B708D3" w:rsidRDefault="00AA36D1" w:rsidP="00EA1AB8">
      <w:pPr>
        <w:rPr>
          <w:rFonts w:ascii="Garamond" w:hAnsi="Garamond"/>
        </w:rPr>
      </w:pPr>
    </w:p>
    <w:p w:rsidR="0049168C" w:rsidRPr="00B708D3" w:rsidRDefault="00AA36D1" w:rsidP="00EA1AB8">
      <w:pPr>
        <w:rPr>
          <w:rFonts w:ascii="Garamond" w:hAnsi="Garamond"/>
          <w:b/>
        </w:rPr>
      </w:pPr>
      <w:r w:rsidRPr="00B708D3">
        <w:rPr>
          <w:rFonts w:ascii="Garamond" w:hAnsi="Garamond"/>
          <w:b/>
        </w:rPr>
        <w:t>Summary</w:t>
      </w:r>
    </w:p>
    <w:p w:rsidR="0049168C" w:rsidRPr="00B708D3" w:rsidRDefault="0049168C" w:rsidP="00EA1AB8">
      <w:pPr>
        <w:rPr>
          <w:rFonts w:ascii="Garamond" w:hAnsi="Garamond"/>
        </w:rPr>
      </w:pPr>
    </w:p>
    <w:p w:rsidR="0049168C" w:rsidRPr="00265269" w:rsidRDefault="00AA36D1" w:rsidP="00EA1AB8">
      <w:pPr>
        <w:rPr>
          <w:rFonts w:ascii="Garamond" w:hAnsi="Garamond"/>
        </w:rPr>
      </w:pPr>
      <w:r w:rsidRPr="00B708D3">
        <w:rPr>
          <w:rFonts w:ascii="Garamond" w:hAnsi="Garamond"/>
        </w:rPr>
        <w:t>This paper has argued that the estimation of the economic benefits</w:t>
      </w:r>
      <w:r w:rsidR="00265269" w:rsidRPr="00B708D3">
        <w:rPr>
          <w:rFonts w:ascii="Garamond" w:hAnsi="Garamond"/>
        </w:rPr>
        <w:t xml:space="preserve"> of </w:t>
      </w:r>
      <w:r w:rsidRPr="00B708D3">
        <w:rPr>
          <w:rFonts w:ascii="Garamond" w:hAnsi="Garamond"/>
        </w:rPr>
        <w:t xml:space="preserve">HIT </w:t>
      </w:r>
      <w:r w:rsidR="00265269" w:rsidRPr="00B708D3">
        <w:rPr>
          <w:rFonts w:ascii="Garamond" w:hAnsi="Garamond"/>
        </w:rPr>
        <w:t>require</w:t>
      </w:r>
      <w:r w:rsidR="004172D9" w:rsidRPr="00B708D3">
        <w:rPr>
          <w:rFonts w:ascii="Garamond" w:hAnsi="Garamond"/>
        </w:rPr>
        <w:t>s</w:t>
      </w:r>
      <w:r w:rsidR="00265269" w:rsidRPr="00B708D3">
        <w:rPr>
          <w:rFonts w:ascii="Garamond" w:hAnsi="Garamond"/>
        </w:rPr>
        <w:t xml:space="preserve"> the development of a logic model and framework aligned to the attributes of </w:t>
      </w:r>
      <w:r w:rsidR="00DD5CFA" w:rsidRPr="00B708D3">
        <w:rPr>
          <w:rFonts w:ascii="Garamond" w:hAnsi="Garamond"/>
        </w:rPr>
        <w:t>HIT</w:t>
      </w:r>
      <w:r w:rsidR="00265269" w:rsidRPr="00B708D3">
        <w:rPr>
          <w:rFonts w:ascii="Garamond" w:hAnsi="Garamond"/>
        </w:rPr>
        <w:t xml:space="preserve"> as implemented.  Using primary care practices as the foundation, we have shown that it is possible to create the basis for testable propositions about the incremental benefit of HIT.  The critical requirement is that the attributes of any information technology enable behavioural changes that lead to immediate outcomes.  Using local studies that draw on provider and patient attributes, it is possible to link inputs to outputs and then immediate outcomes that can serve</w:t>
      </w:r>
      <w:r w:rsidR="005D1C4C" w:rsidRPr="00B708D3">
        <w:rPr>
          <w:rFonts w:ascii="Garamond" w:hAnsi="Garamond"/>
        </w:rPr>
        <w:t xml:space="preserve"> as</w:t>
      </w:r>
      <w:r w:rsidR="00265269" w:rsidRPr="00B708D3">
        <w:rPr>
          <w:rFonts w:ascii="Garamond" w:hAnsi="Garamond"/>
        </w:rPr>
        <w:t xml:space="preserve"> the basis of credible projections of economic benefit.</w:t>
      </w:r>
    </w:p>
    <w:p w:rsidR="00296917" w:rsidRPr="00265269" w:rsidRDefault="00296917" w:rsidP="00EA1AB8">
      <w:pPr>
        <w:rPr>
          <w:rFonts w:ascii="Garamond" w:hAnsi="Garamond"/>
        </w:rPr>
      </w:pPr>
    </w:p>
    <w:p w:rsidR="00296917" w:rsidRPr="00265269" w:rsidRDefault="00296917" w:rsidP="00EA1AB8">
      <w:pPr>
        <w:rPr>
          <w:rFonts w:ascii="Garamond" w:hAnsi="Garamond"/>
        </w:rPr>
      </w:pPr>
    </w:p>
    <w:p w:rsidR="005D2AE6" w:rsidRPr="00EA1AB8" w:rsidRDefault="005D2AE6" w:rsidP="00086064">
      <w:pPr>
        <w:rPr>
          <w:rStyle w:val="SubtleEmphasis"/>
          <w:b/>
          <w:i w:val="0"/>
          <w:iCs w:val="0"/>
          <w:color w:val="auto"/>
        </w:rPr>
      </w:pPr>
      <w:r w:rsidRPr="00EA1AB8">
        <w:rPr>
          <w:rStyle w:val="SubtleEmphasis"/>
          <w:b/>
          <w:i w:val="0"/>
          <w:iCs w:val="0"/>
          <w:color w:val="auto"/>
        </w:rPr>
        <w:t xml:space="preserve">Technical Appendix </w:t>
      </w:r>
    </w:p>
    <w:p w:rsidR="005D2AE6" w:rsidRDefault="005D2AE6" w:rsidP="00086064">
      <w:pPr>
        <w:rPr>
          <w:rStyle w:val="SubtleEmphasis"/>
          <w:i w:val="0"/>
          <w:iCs w:val="0"/>
          <w:color w:val="auto"/>
        </w:rPr>
      </w:pPr>
    </w:p>
    <w:tbl>
      <w:tblPr>
        <w:tblW w:w="9576" w:type="dxa"/>
        <w:tblLayout w:type="fixed"/>
        <w:tblLook w:val="0000"/>
      </w:tblPr>
      <w:tblGrid>
        <w:gridCol w:w="3192"/>
        <w:gridCol w:w="6384"/>
      </w:tblGrid>
      <w:tr w:rsidR="005D2AE6" w:rsidRPr="00C24A77" w:rsidTr="004B1EC2">
        <w:trPr>
          <w:cantSplit/>
          <w:tblHeader/>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cPr>
          <w:p w:rsidR="005D2AE6" w:rsidRPr="00B708D3" w:rsidRDefault="005D2AE6" w:rsidP="00EA1AB8">
            <w:pPr>
              <w:pStyle w:val="Caption"/>
              <w:rPr>
                <w:rStyle w:val="SubtleEmphasis"/>
                <w:rFonts w:cs="Arial"/>
                <w:b w:val="0"/>
                <w:i w:val="0"/>
                <w:iCs w:val="0"/>
                <w:color w:val="auto"/>
              </w:rPr>
            </w:pPr>
            <w:r w:rsidRPr="00B708D3">
              <w:rPr>
                <w:rFonts w:cs="Arial"/>
                <w:szCs w:val="20"/>
              </w:rPr>
              <w:t xml:space="preserve">Table </w:t>
            </w:r>
            <w:r w:rsidR="00EA1AB8" w:rsidRPr="00B708D3">
              <w:rPr>
                <w:rFonts w:cs="Arial"/>
                <w:szCs w:val="20"/>
              </w:rPr>
              <w:t>A1</w:t>
            </w:r>
            <w:r w:rsidRPr="00B708D3">
              <w:rPr>
                <w:rFonts w:cs="Arial"/>
                <w:szCs w:val="20"/>
              </w:rPr>
              <w:t>: High-level EMR attributes and behaviour change (within single delivery clinic)</w:t>
            </w:r>
          </w:p>
        </w:tc>
      </w:tr>
      <w:tr w:rsidR="005D2AE6" w:rsidRPr="00C24A77" w:rsidTr="004B1EC2">
        <w:trPr>
          <w:cantSplit/>
          <w:tblHeader/>
        </w:trPr>
        <w:tc>
          <w:tcPr>
            <w:tcW w:w="3192" w:type="dxa"/>
            <w:tcBorders>
              <w:top w:val="single" w:sz="4" w:space="0" w:color="auto"/>
              <w:left w:val="single" w:sz="4" w:space="0" w:color="auto"/>
              <w:bottom w:val="single" w:sz="4" w:space="0" w:color="auto"/>
              <w:right w:val="single" w:sz="4" w:space="0" w:color="auto"/>
            </w:tcBorders>
            <w:vAlign w:val="center"/>
          </w:tcPr>
          <w:p w:rsidR="005D2AE6" w:rsidRPr="00B708D3" w:rsidRDefault="005D2AE6" w:rsidP="004B1EC2">
            <w:pPr>
              <w:jc w:val="center"/>
              <w:rPr>
                <w:rStyle w:val="SubtleEmphasis"/>
                <w:rFonts w:ascii="Arial" w:hAnsi="Arial" w:cs="Arial"/>
                <w:b/>
                <w:i w:val="0"/>
                <w:iCs w:val="0"/>
                <w:color w:val="auto"/>
                <w:sz w:val="20"/>
                <w:szCs w:val="20"/>
              </w:rPr>
            </w:pPr>
            <w:r w:rsidRPr="00B708D3">
              <w:rPr>
                <w:rStyle w:val="SubtleEmphasis"/>
                <w:rFonts w:ascii="Arial" w:hAnsi="Arial" w:cs="Arial"/>
                <w:b/>
                <w:i w:val="0"/>
                <w:iCs w:val="0"/>
                <w:color w:val="auto"/>
                <w:sz w:val="20"/>
                <w:szCs w:val="20"/>
              </w:rPr>
              <w:t>Attribute</w:t>
            </w:r>
          </w:p>
        </w:tc>
        <w:tc>
          <w:tcPr>
            <w:tcW w:w="6384" w:type="dxa"/>
            <w:tcBorders>
              <w:top w:val="single" w:sz="4" w:space="0" w:color="auto"/>
              <w:left w:val="single" w:sz="4" w:space="0" w:color="auto"/>
              <w:bottom w:val="single" w:sz="4" w:space="0" w:color="auto"/>
              <w:right w:val="single" w:sz="4" w:space="0" w:color="auto"/>
            </w:tcBorders>
            <w:vAlign w:val="center"/>
          </w:tcPr>
          <w:p w:rsidR="005D2AE6" w:rsidRPr="00B708D3" w:rsidRDefault="005D2AE6" w:rsidP="004B1EC2">
            <w:pPr>
              <w:jc w:val="center"/>
              <w:rPr>
                <w:rStyle w:val="SubtleEmphasis"/>
                <w:rFonts w:ascii="Arial" w:hAnsi="Arial" w:cs="Arial"/>
                <w:b/>
                <w:i w:val="0"/>
                <w:iCs w:val="0"/>
                <w:color w:val="auto"/>
                <w:sz w:val="20"/>
                <w:szCs w:val="20"/>
              </w:rPr>
            </w:pPr>
            <w:r w:rsidRPr="00B708D3">
              <w:rPr>
                <w:rStyle w:val="SubtleEmphasis"/>
                <w:rFonts w:ascii="Arial" w:hAnsi="Arial" w:cs="Arial"/>
                <w:b/>
                <w:i w:val="0"/>
                <w:iCs w:val="0"/>
                <w:color w:val="auto"/>
                <w:sz w:val="20"/>
                <w:szCs w:val="20"/>
              </w:rPr>
              <w:t>Potential behavioural change</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szCs w:val="20"/>
              </w:rPr>
            </w:pPr>
            <w:r w:rsidRPr="00B708D3">
              <w:rPr>
                <w:rStyle w:val="SubtleEmphasis"/>
                <w:rFonts w:ascii="Arial" w:hAnsi="Arial" w:cs="Arial"/>
                <w:b/>
                <w:i w:val="0"/>
                <w:iCs w:val="0"/>
                <w:color w:val="auto"/>
                <w:sz w:val="20"/>
                <w:szCs w:val="20"/>
              </w:rPr>
              <w:t xml:space="preserve">Health information </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vAlign w:val="center"/>
          </w:tcPr>
          <w:p w:rsidR="005D2AE6" w:rsidRPr="00B708D3" w:rsidRDefault="005D1C4C" w:rsidP="004B1EC2">
            <w:pPr>
              <w:pStyle w:val="ListParagraph"/>
              <w:numPr>
                <w:ilvl w:val="0"/>
                <w:numId w:val="11"/>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P</w:t>
            </w:r>
            <w:r w:rsidR="005D2AE6" w:rsidRPr="00B708D3">
              <w:rPr>
                <w:rStyle w:val="SubtleEmphasis"/>
                <w:rFonts w:ascii="Arial" w:hAnsi="Arial" w:cs="Arial"/>
                <w:i w:val="0"/>
                <w:iCs w:val="0"/>
                <w:color w:val="auto"/>
                <w:sz w:val="18"/>
                <w:szCs w:val="18"/>
              </w:rPr>
              <w:t>atient demographics</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in re-recording information</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Creation of primary care plans according to guidelines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clerical time by providers</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vAlign w:val="center"/>
          </w:tcPr>
          <w:p w:rsidR="005D2AE6" w:rsidRPr="00B708D3" w:rsidRDefault="005D1C4C" w:rsidP="004B1EC2">
            <w:pPr>
              <w:pStyle w:val="ListParagraph"/>
              <w:numPr>
                <w:ilvl w:val="0"/>
                <w:numId w:val="11"/>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M</w:t>
            </w:r>
            <w:r w:rsidR="005D2AE6" w:rsidRPr="00B708D3">
              <w:rPr>
                <w:rStyle w:val="SubtleEmphasis"/>
                <w:rFonts w:ascii="Arial" w:hAnsi="Arial" w:cs="Arial"/>
                <w:i w:val="0"/>
                <w:iCs w:val="0"/>
                <w:color w:val="auto"/>
                <w:sz w:val="18"/>
                <w:szCs w:val="18"/>
              </w:rPr>
              <w:t>edical/surgical history</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time in identifying CIHI-recommended monitoring</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Recommended monitoring implemented</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vAlign w:val="center"/>
          </w:tcPr>
          <w:p w:rsidR="005D2AE6" w:rsidRPr="00B708D3" w:rsidRDefault="005D1C4C" w:rsidP="004B1EC2">
            <w:pPr>
              <w:pStyle w:val="ListParagraph"/>
              <w:numPr>
                <w:ilvl w:val="0"/>
                <w:numId w:val="11"/>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A</w:t>
            </w:r>
            <w:r w:rsidR="005D2AE6" w:rsidRPr="00B708D3">
              <w:rPr>
                <w:rStyle w:val="SubtleEmphasis"/>
                <w:rFonts w:ascii="Arial" w:hAnsi="Arial" w:cs="Arial"/>
                <w:i w:val="0"/>
                <w:iCs w:val="0"/>
                <w:color w:val="auto"/>
                <w:sz w:val="18"/>
                <w:szCs w:val="18"/>
              </w:rPr>
              <w:t>llergies</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Potential pharmaceutical interaction noted (e.g., automatic warning when penicillin prescribed)</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vAlign w:val="center"/>
          </w:tcPr>
          <w:p w:rsidR="005D2AE6" w:rsidRPr="00B708D3" w:rsidRDefault="005D1C4C" w:rsidP="004B1EC2">
            <w:pPr>
              <w:pStyle w:val="ListParagraph"/>
              <w:numPr>
                <w:ilvl w:val="0"/>
                <w:numId w:val="11"/>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F</w:t>
            </w:r>
            <w:r w:rsidR="005D2AE6" w:rsidRPr="00B708D3">
              <w:rPr>
                <w:rStyle w:val="SubtleEmphasis"/>
                <w:rFonts w:ascii="Arial" w:hAnsi="Arial" w:cs="Arial"/>
                <w:i w:val="0"/>
                <w:iCs w:val="0"/>
                <w:color w:val="auto"/>
                <w:sz w:val="18"/>
                <w:szCs w:val="18"/>
              </w:rPr>
              <w:t>amily history available</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Recommended screening flagged, ordered</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Team members can monitor and participate in care</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Lab management </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2"/>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O</w:t>
            </w:r>
            <w:r w:rsidR="005D2AE6" w:rsidRPr="00B708D3">
              <w:rPr>
                <w:rStyle w:val="SubtleEmphasis"/>
                <w:rFonts w:ascii="Arial" w:hAnsi="Arial" w:cs="Arial"/>
                <w:i w:val="0"/>
                <w:iCs w:val="0"/>
                <w:color w:val="auto"/>
                <w:sz w:val="18"/>
                <w:szCs w:val="18"/>
              </w:rPr>
              <w:t>rdering tests/diagnostic images</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Timely results leading to faster and additional testing, then eventually to better diagnoses resulting in faster treatment</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Closer monitoring of medication side effects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errors in ordering tests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confirmatory tests (control of false negatives and false positives)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More testing throughput</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2"/>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R</w:t>
            </w:r>
            <w:r w:rsidR="005D2AE6" w:rsidRPr="00B708D3">
              <w:rPr>
                <w:rStyle w:val="SubtleEmphasis"/>
                <w:rFonts w:ascii="Arial" w:hAnsi="Arial" w:cs="Arial"/>
                <w:i w:val="0"/>
                <w:iCs w:val="0"/>
                <w:color w:val="auto"/>
                <w:sz w:val="18"/>
                <w:szCs w:val="18"/>
              </w:rPr>
              <w:t>eceiving results (electronic)</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Timely results leading to faster and additional testing, then eventually to better diagnoses resulting in faster treatment</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Closer monitoring of medication side effects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confirmatory tests (control of false negatives and false positives)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More testing throughput</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Reduced clerical time</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2"/>
              </w:numPr>
              <w:ind w:left="450"/>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R</w:t>
            </w:r>
            <w:r w:rsidR="005D2AE6" w:rsidRPr="00B708D3">
              <w:rPr>
                <w:rStyle w:val="SubtleEmphasis"/>
                <w:rFonts w:ascii="Arial" w:hAnsi="Arial" w:cs="Arial"/>
                <w:i w:val="0"/>
                <w:iCs w:val="0"/>
                <w:color w:val="auto"/>
                <w:sz w:val="18"/>
                <w:szCs w:val="18"/>
              </w:rPr>
              <w:t>eviewing results</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Timely results leading to faster and additional testing, then eventually to better diagnoses resulting in faster treatment</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Closer monitoring of medication side effects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confirmatory tests (control of false negatives and false positives)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More testing throughput</w:t>
            </w:r>
          </w:p>
          <w:p w:rsidR="005D2AE6" w:rsidRPr="00B708D3" w:rsidRDefault="005D2AE6" w:rsidP="004B1EC2">
            <w:pPr>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16"/>
                <w:szCs w:val="16"/>
              </w:rPr>
            </w:pPr>
            <w:r w:rsidRPr="00B708D3">
              <w:rPr>
                <w:rStyle w:val="SubtleEmphasis"/>
                <w:rFonts w:ascii="Arial" w:hAnsi="Arial" w:cs="Arial"/>
                <w:b/>
                <w:i w:val="0"/>
                <w:iCs w:val="0"/>
                <w:color w:val="auto"/>
                <w:sz w:val="20"/>
              </w:rPr>
              <w:t xml:space="preserve">Pharmaceutical management </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3"/>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P</w:t>
            </w:r>
            <w:r w:rsidR="005D2AE6" w:rsidRPr="00B708D3">
              <w:rPr>
                <w:rStyle w:val="SubtleEmphasis"/>
                <w:rFonts w:ascii="Arial" w:hAnsi="Arial" w:cs="Arial"/>
                <w:i w:val="0"/>
                <w:iCs w:val="0"/>
                <w:color w:val="auto"/>
                <w:sz w:val="18"/>
                <w:szCs w:val="18"/>
              </w:rPr>
              <w:t>rescribing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Fewer errors (handwriting – reduced errors)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fulfillment</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Avoidance of interactions</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Minimization of overprescribing </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rPr>
          <w:trHeight w:val="287"/>
        </w:trPr>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3"/>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 xml:space="preserve"> R</w:t>
            </w:r>
            <w:r w:rsidR="005D2AE6" w:rsidRPr="00B708D3">
              <w:rPr>
                <w:rStyle w:val="SubtleEmphasis"/>
                <w:rFonts w:ascii="Arial" w:hAnsi="Arial" w:cs="Arial"/>
                <w:i w:val="0"/>
                <w:iCs w:val="0"/>
                <w:color w:val="auto"/>
                <w:sz w:val="18"/>
                <w:szCs w:val="18"/>
              </w:rPr>
              <w:t xml:space="preserve">enewal management </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Monitoring of compliance</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Rapid follow-up when patients fail to comply</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3"/>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I</w:t>
            </w:r>
            <w:r w:rsidR="005D2AE6" w:rsidRPr="00B708D3">
              <w:rPr>
                <w:rStyle w:val="SubtleEmphasis"/>
                <w:rFonts w:ascii="Arial" w:hAnsi="Arial" w:cs="Arial"/>
                <w:i w:val="0"/>
                <w:iCs w:val="0"/>
                <w:color w:val="auto"/>
                <w:sz w:val="18"/>
                <w:szCs w:val="18"/>
              </w:rPr>
              <w:t>nteraction assessment</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Reduction of adverse interactions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3"/>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C</w:t>
            </w:r>
            <w:r w:rsidR="005D2AE6" w:rsidRPr="00B708D3">
              <w:rPr>
                <w:rStyle w:val="SubtleEmphasis"/>
                <w:rFonts w:ascii="Arial" w:hAnsi="Arial" w:cs="Arial"/>
                <w:i w:val="0"/>
                <w:iCs w:val="0"/>
                <w:color w:val="auto"/>
                <w:sz w:val="18"/>
                <w:szCs w:val="18"/>
              </w:rPr>
              <w:t>ost control</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Selection of lower cost equivalents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 xml:space="preserve">Decision support </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4"/>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S</w:t>
            </w:r>
            <w:r w:rsidR="005D2AE6" w:rsidRPr="00B708D3">
              <w:rPr>
                <w:rStyle w:val="SubtleEmphasis"/>
                <w:rFonts w:ascii="Arial" w:hAnsi="Arial" w:cs="Arial"/>
                <w:i w:val="0"/>
                <w:iCs w:val="0"/>
                <w:color w:val="auto"/>
                <w:sz w:val="18"/>
                <w:szCs w:val="18"/>
              </w:rPr>
              <w:t>creening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screening rates</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numbers involved in screening</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4"/>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C</w:t>
            </w:r>
            <w:r w:rsidR="005D2AE6" w:rsidRPr="00B708D3">
              <w:rPr>
                <w:rStyle w:val="SubtleEmphasis"/>
                <w:rFonts w:ascii="Arial" w:hAnsi="Arial" w:cs="Arial"/>
                <w:i w:val="0"/>
                <w:iCs w:val="0"/>
                <w:color w:val="auto"/>
                <w:sz w:val="18"/>
                <w:szCs w:val="18"/>
              </w:rPr>
              <w:t>hronic care testing</w:t>
            </w:r>
            <w:r w:rsidR="00DD5CFA" w:rsidRPr="00B708D3">
              <w:rPr>
                <w:rStyle w:val="SubtleEmphasis"/>
                <w:rFonts w:ascii="Arial" w:hAnsi="Arial" w:cs="Arial"/>
                <w:i w:val="0"/>
                <w:iCs w:val="0"/>
                <w:color w:val="auto"/>
                <w:sz w:val="18"/>
                <w:szCs w:val="18"/>
              </w:rPr>
              <w:t xml:space="preserve"> and</w:t>
            </w:r>
            <w:r w:rsidR="005D2AE6" w:rsidRPr="00B708D3">
              <w:rPr>
                <w:rStyle w:val="SubtleEmphasis"/>
                <w:rFonts w:ascii="Arial" w:hAnsi="Arial" w:cs="Arial"/>
                <w:i w:val="0"/>
                <w:iCs w:val="0"/>
                <w:color w:val="auto"/>
                <w:sz w:val="18"/>
                <w:szCs w:val="18"/>
              </w:rPr>
              <w:t xml:space="preserve"> monitoring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 xml:space="preserve">Increased chronic disease monitoring </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Faster adjustment of medications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4"/>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M</w:t>
            </w:r>
            <w:r w:rsidR="005D2AE6" w:rsidRPr="00B708D3">
              <w:rPr>
                <w:rStyle w:val="SubtleEmphasis"/>
                <w:rFonts w:ascii="Arial" w:hAnsi="Arial" w:cs="Arial"/>
                <w:i w:val="0"/>
                <w:iCs w:val="0"/>
                <w:color w:val="auto"/>
                <w:sz w:val="18"/>
                <w:szCs w:val="18"/>
              </w:rPr>
              <w:t>edical care management across classes of patients</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Better allocation of clinic resources in managing patients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Amalgamation of services</w:t>
            </w:r>
          </w:p>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Alignment of specializations in support of patients</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Increased use of guidelines and evidence-based practice</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Patient engagement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5"/>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E</w:t>
            </w:r>
            <w:r w:rsidR="005D2AE6" w:rsidRPr="00B708D3">
              <w:rPr>
                <w:rStyle w:val="SubtleEmphasis"/>
                <w:rFonts w:ascii="Arial" w:hAnsi="Arial" w:cs="Arial"/>
                <w:i w:val="0"/>
                <w:iCs w:val="0"/>
                <w:color w:val="auto"/>
                <w:sz w:val="18"/>
                <w:szCs w:val="18"/>
              </w:rPr>
              <w:t>ducation</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Patients understand condition</w:t>
            </w:r>
          </w:p>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Patients become more proactive with respect to care</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5"/>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M</w:t>
            </w:r>
            <w:r w:rsidR="005D2AE6" w:rsidRPr="00B708D3">
              <w:rPr>
                <w:rStyle w:val="SubtleEmphasis"/>
                <w:rFonts w:ascii="Arial" w:hAnsi="Arial" w:cs="Arial"/>
                <w:i w:val="0"/>
                <w:iCs w:val="0"/>
                <w:color w:val="auto"/>
                <w:sz w:val="18"/>
                <w:szCs w:val="18"/>
              </w:rPr>
              <w:t>otivation</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806145">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Patients are motivated to follow protocols (e.g., weight reduction, exercise</w:t>
            </w:r>
            <w:r w:rsidR="00806145" w:rsidRPr="00B708D3">
              <w:rPr>
                <w:rStyle w:val="SubtleEmphasis"/>
                <w:rFonts w:ascii="Arial" w:hAnsi="Arial" w:cs="Arial"/>
                <w:i w:val="0"/>
                <w:iCs w:val="0"/>
                <w:color w:val="auto"/>
                <w:sz w:val="16"/>
                <w:szCs w:val="16"/>
              </w:rPr>
              <w:t>)</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5"/>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I</w:t>
            </w:r>
            <w:r w:rsidR="005D2AE6" w:rsidRPr="00B708D3">
              <w:rPr>
                <w:rStyle w:val="SubtleEmphasis"/>
                <w:rFonts w:ascii="Arial" w:hAnsi="Arial" w:cs="Arial"/>
                <w:i w:val="0"/>
                <w:iCs w:val="0"/>
                <w:color w:val="auto"/>
                <w:sz w:val="18"/>
                <w:szCs w:val="18"/>
              </w:rPr>
              <w:t>nformation sharing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9C4E59">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Motivate patients, who then influence family and friends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Administration</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5D1C4C" w:rsidP="004B1EC2">
            <w:pPr>
              <w:pStyle w:val="ListParagraph"/>
              <w:numPr>
                <w:ilvl w:val="0"/>
                <w:numId w:val="16"/>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S</w:t>
            </w:r>
            <w:r w:rsidR="005D2AE6" w:rsidRPr="00B708D3">
              <w:rPr>
                <w:rStyle w:val="SubtleEmphasis"/>
                <w:rFonts w:ascii="Arial" w:hAnsi="Arial" w:cs="Arial"/>
                <w:i w:val="0"/>
                <w:iCs w:val="0"/>
                <w:color w:val="auto"/>
                <w:sz w:val="18"/>
                <w:szCs w:val="18"/>
              </w:rPr>
              <w:t>cheduling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can treat more patients</w:t>
            </w:r>
          </w:p>
          <w:p w:rsidR="005D2AE6" w:rsidRPr="00B708D3" w:rsidRDefault="005D2AE6" w:rsidP="005D1C4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are more profitable</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D0216F" w:rsidP="004B1EC2">
            <w:pPr>
              <w:pStyle w:val="ListParagraph"/>
              <w:numPr>
                <w:ilvl w:val="0"/>
                <w:numId w:val="16"/>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B</w:t>
            </w:r>
            <w:r w:rsidR="005D2AE6" w:rsidRPr="00B708D3">
              <w:rPr>
                <w:rStyle w:val="SubtleEmphasis"/>
                <w:rFonts w:ascii="Arial" w:hAnsi="Arial" w:cs="Arial"/>
                <w:i w:val="0"/>
                <w:iCs w:val="0"/>
                <w:color w:val="auto"/>
                <w:sz w:val="18"/>
                <w:szCs w:val="18"/>
              </w:rPr>
              <w:t>illing</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5D1C4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are more profitable</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D0216F" w:rsidP="004B1EC2">
            <w:pPr>
              <w:pStyle w:val="ListParagraph"/>
              <w:numPr>
                <w:ilvl w:val="0"/>
                <w:numId w:val="16"/>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R</w:t>
            </w:r>
            <w:r w:rsidR="005D2AE6" w:rsidRPr="00B708D3">
              <w:rPr>
                <w:rStyle w:val="SubtleEmphasis"/>
                <w:rFonts w:ascii="Arial" w:hAnsi="Arial" w:cs="Arial"/>
                <w:i w:val="0"/>
                <w:iCs w:val="0"/>
                <w:color w:val="auto"/>
                <w:sz w:val="18"/>
                <w:szCs w:val="18"/>
              </w:rPr>
              <w:t>ecords management</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manage more patients</w:t>
            </w:r>
          </w:p>
          <w:p w:rsidR="005D2AE6" w:rsidRPr="00B708D3" w:rsidRDefault="005D2AE6" w:rsidP="005D1C4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Overall systems information increases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24A77" w:rsidTr="004B1EC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AE6" w:rsidRPr="00B708D3" w:rsidRDefault="005D2AE6" w:rsidP="004B1EC2">
            <w:pPr>
              <w:pStyle w:val="ListParagraph"/>
              <w:numPr>
                <w:ilvl w:val="0"/>
                <w:numId w:val="10"/>
              </w:numPr>
              <w:ind w:left="180" w:hanging="180"/>
              <w:rPr>
                <w:rStyle w:val="SubtleEmphasis"/>
                <w:rFonts w:ascii="Arial" w:hAnsi="Arial" w:cs="Arial"/>
                <w:b/>
                <w:i w:val="0"/>
                <w:iCs w:val="0"/>
                <w:color w:val="auto"/>
                <w:sz w:val="20"/>
              </w:rPr>
            </w:pPr>
            <w:r w:rsidRPr="00B708D3">
              <w:rPr>
                <w:rStyle w:val="SubtleEmphasis"/>
                <w:rFonts w:ascii="Arial" w:hAnsi="Arial" w:cs="Arial"/>
                <w:b/>
                <w:i w:val="0"/>
                <w:iCs w:val="0"/>
                <w:color w:val="auto"/>
                <w:sz w:val="20"/>
              </w:rPr>
              <w:t>Practice management</w:t>
            </w:r>
          </w:p>
        </w:tc>
      </w:tr>
      <w:tr w:rsidR="005D2AE6" w:rsidRPr="00C24A77"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D0216F" w:rsidP="004B1EC2">
            <w:pPr>
              <w:pStyle w:val="ListParagraph"/>
              <w:numPr>
                <w:ilvl w:val="0"/>
                <w:numId w:val="17"/>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E</w:t>
            </w:r>
            <w:r w:rsidR="005D2AE6" w:rsidRPr="00B708D3">
              <w:rPr>
                <w:rStyle w:val="SubtleEmphasis"/>
                <w:rFonts w:ascii="Arial" w:hAnsi="Arial" w:cs="Arial"/>
                <w:i w:val="0"/>
                <w:iCs w:val="0"/>
                <w:color w:val="auto"/>
                <w:sz w:val="18"/>
                <w:szCs w:val="18"/>
              </w:rPr>
              <w:t>valuation of individual and team performance</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4B1EC2">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are better able to manage human resources</w:t>
            </w:r>
          </w:p>
          <w:p w:rsidR="005D2AE6" w:rsidRPr="00B708D3" w:rsidRDefault="005D2AE6" w:rsidP="005D1C4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identify professional development</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r w:rsidR="005D2AE6" w:rsidRPr="00C04102" w:rsidTr="004B1EC2">
        <w:tc>
          <w:tcPr>
            <w:tcW w:w="3192" w:type="dxa"/>
            <w:tcBorders>
              <w:top w:val="single" w:sz="4" w:space="0" w:color="auto"/>
              <w:left w:val="single" w:sz="4" w:space="0" w:color="auto"/>
              <w:bottom w:val="single" w:sz="4" w:space="0" w:color="auto"/>
              <w:right w:val="single" w:sz="4" w:space="0" w:color="auto"/>
            </w:tcBorders>
          </w:tcPr>
          <w:p w:rsidR="005D2AE6" w:rsidRPr="00B708D3" w:rsidRDefault="00D0216F" w:rsidP="004B1EC2">
            <w:pPr>
              <w:pStyle w:val="ListParagraph"/>
              <w:numPr>
                <w:ilvl w:val="0"/>
                <w:numId w:val="17"/>
              </w:numPr>
              <w:rPr>
                <w:rStyle w:val="SubtleEmphasis"/>
                <w:rFonts w:ascii="Arial" w:hAnsi="Arial" w:cs="Arial"/>
                <w:i w:val="0"/>
                <w:iCs w:val="0"/>
                <w:color w:val="auto"/>
                <w:sz w:val="18"/>
                <w:szCs w:val="18"/>
              </w:rPr>
            </w:pPr>
            <w:r w:rsidRPr="00B708D3">
              <w:rPr>
                <w:rStyle w:val="SubtleEmphasis"/>
                <w:rFonts w:ascii="Arial" w:hAnsi="Arial" w:cs="Arial"/>
                <w:i w:val="0"/>
                <w:iCs w:val="0"/>
                <w:color w:val="auto"/>
                <w:sz w:val="18"/>
                <w:szCs w:val="18"/>
              </w:rPr>
              <w:t>U</w:t>
            </w:r>
            <w:r w:rsidR="005D2AE6" w:rsidRPr="00B708D3">
              <w:rPr>
                <w:rStyle w:val="SubtleEmphasis"/>
                <w:rFonts w:ascii="Arial" w:hAnsi="Arial" w:cs="Arial"/>
                <w:i w:val="0"/>
                <w:iCs w:val="0"/>
                <w:color w:val="auto"/>
                <w:sz w:val="18"/>
                <w:szCs w:val="18"/>
              </w:rPr>
              <w:t>se of collected data for research into practice</w:t>
            </w:r>
          </w:p>
        </w:tc>
        <w:tc>
          <w:tcPr>
            <w:tcW w:w="6384" w:type="dxa"/>
            <w:tcBorders>
              <w:top w:val="single" w:sz="4" w:space="0" w:color="auto"/>
              <w:left w:val="single" w:sz="4" w:space="0" w:color="auto"/>
              <w:bottom w:val="single" w:sz="4" w:space="0" w:color="auto"/>
              <w:right w:val="single" w:sz="4" w:space="0" w:color="auto"/>
            </w:tcBorders>
          </w:tcPr>
          <w:p w:rsidR="005D2AE6" w:rsidRPr="00B708D3" w:rsidRDefault="005D2AE6" w:rsidP="005D1C4C">
            <w:pPr>
              <w:pStyle w:val="ListParagraph"/>
              <w:numPr>
                <w:ilvl w:val="0"/>
                <w:numId w:val="8"/>
              </w:numPr>
              <w:ind w:left="342"/>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Providers gain insight in</w:t>
            </w:r>
            <w:r w:rsidR="00D0216F" w:rsidRPr="00B708D3">
              <w:rPr>
                <w:rStyle w:val="SubtleEmphasis"/>
                <w:rFonts w:ascii="Arial" w:hAnsi="Arial" w:cs="Arial"/>
                <w:i w:val="0"/>
                <w:iCs w:val="0"/>
                <w:color w:val="auto"/>
                <w:sz w:val="16"/>
                <w:szCs w:val="16"/>
              </w:rPr>
              <w:t>to</w:t>
            </w:r>
            <w:r w:rsidRPr="00B708D3">
              <w:rPr>
                <w:rStyle w:val="SubtleEmphasis"/>
                <w:rFonts w:ascii="Arial" w:hAnsi="Arial" w:cs="Arial"/>
                <w:i w:val="0"/>
                <w:iCs w:val="0"/>
                <w:color w:val="auto"/>
                <w:sz w:val="16"/>
                <w:szCs w:val="16"/>
              </w:rPr>
              <w:t xml:space="preserve"> care management improvements</w:t>
            </w:r>
          </w:p>
          <w:p w:rsidR="00E40E24" w:rsidRPr="00B708D3" w:rsidRDefault="00E40E24" w:rsidP="00E40E24">
            <w:pPr>
              <w:ind w:left="-18"/>
              <w:rPr>
                <w:rStyle w:val="SubtleEmphasis"/>
                <w:rFonts w:ascii="Arial" w:hAnsi="Arial" w:cs="Arial"/>
                <w:i w:val="0"/>
                <w:iCs w:val="0"/>
                <w:color w:val="auto"/>
                <w:sz w:val="16"/>
                <w:szCs w:val="16"/>
              </w:rPr>
            </w:pPr>
            <w:r w:rsidRPr="00B708D3">
              <w:rPr>
                <w:rStyle w:val="SubtleEmphasis"/>
                <w:rFonts w:ascii="Arial" w:hAnsi="Arial" w:cs="Arial"/>
                <w:i w:val="0"/>
                <w:iCs w:val="0"/>
                <w:color w:val="auto"/>
                <w:sz w:val="16"/>
                <w:szCs w:val="16"/>
              </w:rPr>
              <w:t>….</w:t>
            </w:r>
          </w:p>
        </w:tc>
      </w:tr>
    </w:tbl>
    <w:p w:rsidR="005D2AE6" w:rsidRDefault="005D2AE6" w:rsidP="00086064">
      <w:pPr>
        <w:rPr>
          <w:rStyle w:val="SubtleEmphasis"/>
          <w:i w:val="0"/>
          <w:iCs w:val="0"/>
          <w:color w:val="auto"/>
        </w:rPr>
      </w:pPr>
    </w:p>
    <w:p w:rsidR="005D2AE6" w:rsidRDefault="005D2AE6" w:rsidP="00086064">
      <w:pPr>
        <w:rPr>
          <w:rStyle w:val="SubtleEmphasis"/>
          <w:i w:val="0"/>
          <w:iCs w:val="0"/>
          <w:color w:val="auto"/>
        </w:rPr>
      </w:pPr>
    </w:p>
    <w:p w:rsidR="00B140E4" w:rsidRPr="00265269" w:rsidRDefault="00E33149" w:rsidP="00086064">
      <w:pPr>
        <w:rPr>
          <w:rStyle w:val="SubtleEmphasis"/>
          <w:rFonts w:ascii="Garamond" w:hAnsi="Garamond"/>
          <w:b/>
          <w:i w:val="0"/>
          <w:iCs w:val="0"/>
          <w:color w:val="auto"/>
        </w:rPr>
      </w:pPr>
      <w:r w:rsidRPr="00265269">
        <w:rPr>
          <w:rStyle w:val="SubtleEmphasis"/>
          <w:rFonts w:ascii="Garamond" w:hAnsi="Garamond"/>
          <w:b/>
          <w:i w:val="0"/>
          <w:iCs w:val="0"/>
          <w:color w:val="auto"/>
        </w:rPr>
        <w:t>References</w:t>
      </w:r>
    </w:p>
    <w:p w:rsidR="00434286" w:rsidRPr="00265269" w:rsidRDefault="00434286" w:rsidP="00434286">
      <w:pPr>
        <w:widowControl w:val="0"/>
        <w:autoSpaceDE w:val="0"/>
        <w:autoSpaceDN w:val="0"/>
        <w:adjustRightInd w:val="0"/>
        <w:ind w:left="720" w:hanging="720"/>
        <w:rPr>
          <w:rFonts w:ascii="Garamond" w:hAnsi="Garamond"/>
        </w:rPr>
      </w:pPr>
    </w:p>
    <w:p w:rsidR="00265269" w:rsidRPr="00265269" w:rsidRDefault="00265269" w:rsidP="00265269">
      <w:pPr>
        <w:widowControl w:val="0"/>
        <w:autoSpaceDE w:val="0"/>
        <w:autoSpaceDN w:val="0"/>
        <w:adjustRightInd w:val="0"/>
        <w:ind w:left="720" w:hanging="720"/>
        <w:rPr>
          <w:rFonts w:ascii="Garamond" w:hAnsi="Garamond"/>
        </w:rPr>
      </w:pPr>
      <w:r w:rsidRPr="00265269">
        <w:rPr>
          <w:rFonts w:ascii="Garamond" w:hAnsi="Garamond"/>
        </w:rPr>
        <w:t>Axnick, N., Shavell, N. and Witte, J., (1969) Benefits due to immunization against measl</w:t>
      </w:r>
      <w:r w:rsidRPr="002F3ADF">
        <w:rPr>
          <w:rFonts w:ascii="Garamond" w:hAnsi="Garamond"/>
        </w:rPr>
        <w:t>es</w:t>
      </w:r>
      <w:r w:rsidR="00DD6C6C" w:rsidRPr="002F3ADF">
        <w:rPr>
          <w:rFonts w:ascii="Garamond" w:hAnsi="Garamond"/>
        </w:rPr>
        <w:t>.</w:t>
      </w:r>
      <w:r w:rsidRPr="002F3ADF">
        <w:rPr>
          <w:rFonts w:ascii="Garamond" w:hAnsi="Garamond"/>
        </w:rPr>
        <w:t xml:space="preserve"> </w:t>
      </w:r>
      <w:r w:rsidRPr="002F3ADF">
        <w:rPr>
          <w:rFonts w:ascii="Garamond" w:hAnsi="Garamond"/>
          <w:i/>
        </w:rPr>
        <w:t>Pu</w:t>
      </w:r>
      <w:r w:rsidRPr="00265269">
        <w:rPr>
          <w:rFonts w:ascii="Garamond" w:hAnsi="Garamond"/>
          <w:i/>
        </w:rPr>
        <w:t>blic Health Rep</w:t>
      </w:r>
      <w:r w:rsidRPr="00265269">
        <w:rPr>
          <w:rFonts w:ascii="Garamond" w:hAnsi="Garamond"/>
        </w:rPr>
        <w:t xml:space="preserve"> 84 (8):673-80 </w:t>
      </w:r>
    </w:p>
    <w:p w:rsidR="00265269" w:rsidRPr="00265269" w:rsidRDefault="00265269" w:rsidP="00265269">
      <w:pPr>
        <w:widowControl w:val="0"/>
        <w:autoSpaceDE w:val="0"/>
        <w:autoSpaceDN w:val="0"/>
        <w:adjustRightInd w:val="0"/>
        <w:ind w:left="720" w:hanging="720"/>
        <w:rPr>
          <w:rFonts w:ascii="Garamond" w:hAnsi="Garamond"/>
        </w:rPr>
      </w:pPr>
    </w:p>
    <w:p w:rsidR="00434286" w:rsidRPr="00265269" w:rsidRDefault="00434286" w:rsidP="00434286">
      <w:pPr>
        <w:widowControl w:val="0"/>
        <w:autoSpaceDE w:val="0"/>
        <w:autoSpaceDN w:val="0"/>
        <w:adjustRightInd w:val="0"/>
        <w:ind w:left="720" w:hanging="720"/>
        <w:rPr>
          <w:rFonts w:ascii="Garamond" w:hAnsi="Garamond"/>
        </w:rPr>
      </w:pPr>
      <w:r w:rsidRPr="00265269">
        <w:rPr>
          <w:rFonts w:ascii="Garamond" w:hAnsi="Garamond"/>
        </w:rPr>
        <w:t xml:space="preserve">Belletti, D., Zacker, C., &amp; Mullins, C. D. (2010). Perspectives on electronic medical records adoption: electronic medical records (EMR) in outcomes research. </w:t>
      </w:r>
      <w:r w:rsidRPr="00265269">
        <w:rPr>
          <w:rFonts w:ascii="Garamond" w:hAnsi="Garamond"/>
          <w:i/>
          <w:iCs/>
        </w:rPr>
        <w:t>Patient Related Outcome Measures</w:t>
      </w:r>
      <w:r w:rsidRPr="00265269">
        <w:rPr>
          <w:rFonts w:ascii="Garamond" w:hAnsi="Garamond"/>
        </w:rPr>
        <w:t xml:space="preserve">, </w:t>
      </w:r>
      <w:r w:rsidRPr="00265269">
        <w:rPr>
          <w:rFonts w:ascii="Garamond" w:hAnsi="Garamond"/>
          <w:i/>
          <w:iCs/>
        </w:rPr>
        <w:t>1</w:t>
      </w:r>
      <w:r w:rsidRPr="00265269">
        <w:rPr>
          <w:rFonts w:ascii="Garamond" w:hAnsi="Garamond"/>
        </w:rPr>
        <w:t>, 29–37.</w:t>
      </w:r>
    </w:p>
    <w:p w:rsidR="00DD6C6C" w:rsidRDefault="00DD6C6C" w:rsidP="00265269">
      <w:pPr>
        <w:widowControl w:val="0"/>
        <w:autoSpaceDE w:val="0"/>
        <w:autoSpaceDN w:val="0"/>
        <w:adjustRightInd w:val="0"/>
        <w:ind w:left="720" w:hanging="720"/>
        <w:rPr>
          <w:rFonts w:ascii="Garamond" w:hAnsi="Garamond"/>
        </w:rPr>
      </w:pPr>
    </w:p>
    <w:p w:rsidR="00265269" w:rsidRPr="00265269" w:rsidRDefault="00265269" w:rsidP="00265269">
      <w:pPr>
        <w:widowControl w:val="0"/>
        <w:autoSpaceDE w:val="0"/>
        <w:autoSpaceDN w:val="0"/>
        <w:adjustRightInd w:val="0"/>
        <w:ind w:left="720" w:hanging="720"/>
        <w:rPr>
          <w:rFonts w:ascii="Garamond" w:hAnsi="Garamond"/>
        </w:rPr>
      </w:pPr>
      <w:r w:rsidRPr="00265269">
        <w:rPr>
          <w:rFonts w:ascii="Garamond" w:hAnsi="Garamond"/>
        </w:rPr>
        <w:t xml:space="preserve">Berg, W. A. (2010). Benefits of screening mammography. </w:t>
      </w:r>
      <w:r w:rsidRPr="00265269">
        <w:rPr>
          <w:rFonts w:ascii="Garamond" w:hAnsi="Garamond"/>
          <w:i/>
          <w:iCs/>
        </w:rPr>
        <w:t>JAMA: The Journal of the American Medical Association</w:t>
      </w:r>
      <w:r w:rsidRPr="00265269">
        <w:rPr>
          <w:rFonts w:ascii="Garamond" w:hAnsi="Garamond"/>
        </w:rPr>
        <w:t xml:space="preserve">, </w:t>
      </w:r>
      <w:r w:rsidRPr="00265269">
        <w:rPr>
          <w:rFonts w:ascii="Garamond" w:hAnsi="Garamond"/>
          <w:i/>
          <w:iCs/>
        </w:rPr>
        <w:t>303</w:t>
      </w:r>
      <w:r w:rsidRPr="00265269">
        <w:rPr>
          <w:rFonts w:ascii="Garamond" w:hAnsi="Garamond"/>
        </w:rPr>
        <w:t>(2), 168–169.</w:t>
      </w:r>
    </w:p>
    <w:p w:rsidR="00265269" w:rsidRPr="00265269" w:rsidRDefault="00265269" w:rsidP="00434286">
      <w:pPr>
        <w:widowControl w:val="0"/>
        <w:autoSpaceDE w:val="0"/>
        <w:autoSpaceDN w:val="0"/>
        <w:adjustRightInd w:val="0"/>
        <w:ind w:left="720" w:hanging="720"/>
        <w:rPr>
          <w:rFonts w:ascii="Garamond" w:hAnsi="Garamond"/>
        </w:rPr>
      </w:pPr>
    </w:p>
    <w:p w:rsidR="00265269" w:rsidRPr="00265269" w:rsidRDefault="00265269" w:rsidP="00265269">
      <w:pPr>
        <w:widowControl w:val="0"/>
        <w:autoSpaceDE w:val="0"/>
        <w:autoSpaceDN w:val="0"/>
        <w:adjustRightInd w:val="0"/>
        <w:ind w:left="720" w:hanging="720"/>
        <w:rPr>
          <w:rFonts w:ascii="Garamond" w:hAnsi="Garamond"/>
        </w:rPr>
      </w:pPr>
      <w:r w:rsidRPr="00265269">
        <w:rPr>
          <w:rFonts w:ascii="Garamond" w:hAnsi="Garamond"/>
        </w:rPr>
        <w:t xml:space="preserve">Brawley, O., Byers, T., Chen, A., Pignone, M., Ransohoff, D., Schenk, M., Smith, R., et al. (2011). New American Cancer Society process for creating trustworthy cancer screening guidelines. </w:t>
      </w:r>
      <w:r w:rsidRPr="00265269">
        <w:rPr>
          <w:rFonts w:ascii="Garamond" w:hAnsi="Garamond"/>
          <w:i/>
          <w:iCs/>
        </w:rPr>
        <w:t>JAMA: The Journal of the American Medical Association</w:t>
      </w:r>
      <w:r w:rsidRPr="00265269">
        <w:rPr>
          <w:rFonts w:ascii="Garamond" w:hAnsi="Garamond"/>
        </w:rPr>
        <w:t xml:space="preserve">, </w:t>
      </w:r>
      <w:r w:rsidRPr="00265269">
        <w:rPr>
          <w:rFonts w:ascii="Garamond" w:hAnsi="Garamond"/>
          <w:i/>
          <w:iCs/>
        </w:rPr>
        <w:t>306</w:t>
      </w:r>
      <w:r w:rsidRPr="00265269">
        <w:rPr>
          <w:rFonts w:ascii="Garamond" w:hAnsi="Garamond"/>
        </w:rPr>
        <w:t>(22), 2495–2499.</w:t>
      </w:r>
    </w:p>
    <w:p w:rsidR="00265269" w:rsidRPr="00265269" w:rsidRDefault="00265269" w:rsidP="00434286">
      <w:pPr>
        <w:widowControl w:val="0"/>
        <w:autoSpaceDE w:val="0"/>
        <w:autoSpaceDN w:val="0"/>
        <w:adjustRightInd w:val="0"/>
        <w:ind w:left="720" w:hanging="720"/>
        <w:rPr>
          <w:rFonts w:ascii="Garamond" w:hAnsi="Garamond"/>
        </w:rPr>
      </w:pPr>
    </w:p>
    <w:p w:rsidR="00265269" w:rsidRPr="00265269" w:rsidRDefault="00265269" w:rsidP="00265269">
      <w:pPr>
        <w:widowControl w:val="0"/>
        <w:autoSpaceDE w:val="0"/>
        <w:autoSpaceDN w:val="0"/>
        <w:adjustRightInd w:val="0"/>
        <w:ind w:left="720" w:hanging="720"/>
        <w:rPr>
          <w:rFonts w:ascii="Garamond" w:hAnsi="Garamond"/>
        </w:rPr>
      </w:pPr>
      <w:r w:rsidRPr="00265269">
        <w:rPr>
          <w:rFonts w:ascii="Garamond" w:hAnsi="Garamond"/>
        </w:rPr>
        <w:t xml:space="preserve">Brodersen, J., Jorgensen, K. J., &amp; Gotzsche, P. C. (2010). The benefits and harms of screening for cancer with a focus on breast screening. </w:t>
      </w:r>
      <w:r w:rsidRPr="00265269">
        <w:rPr>
          <w:rFonts w:ascii="Garamond" w:hAnsi="Garamond"/>
          <w:i/>
          <w:iCs/>
        </w:rPr>
        <w:t>Pol Arch Med Wewn</w:t>
      </w:r>
      <w:r w:rsidRPr="00265269">
        <w:rPr>
          <w:rFonts w:ascii="Garamond" w:hAnsi="Garamond"/>
        </w:rPr>
        <w:t xml:space="preserve">, </w:t>
      </w:r>
      <w:r w:rsidRPr="00265269">
        <w:rPr>
          <w:rFonts w:ascii="Garamond" w:hAnsi="Garamond"/>
          <w:i/>
          <w:iCs/>
        </w:rPr>
        <w:t>120</w:t>
      </w:r>
      <w:r w:rsidRPr="00265269">
        <w:rPr>
          <w:rFonts w:ascii="Garamond" w:hAnsi="Garamond"/>
        </w:rPr>
        <w:t>(3), 89–94.</w:t>
      </w:r>
    </w:p>
    <w:p w:rsidR="00265269" w:rsidRPr="00265269" w:rsidRDefault="00265269" w:rsidP="00434286">
      <w:pPr>
        <w:widowControl w:val="0"/>
        <w:autoSpaceDE w:val="0"/>
        <w:autoSpaceDN w:val="0"/>
        <w:adjustRightInd w:val="0"/>
        <w:ind w:left="720" w:hanging="720"/>
        <w:rPr>
          <w:rFonts w:ascii="Garamond" w:hAnsi="Garamond"/>
        </w:rPr>
      </w:pPr>
    </w:p>
    <w:p w:rsidR="00434286" w:rsidRPr="00265269" w:rsidRDefault="00434286" w:rsidP="00434286">
      <w:pPr>
        <w:widowControl w:val="0"/>
        <w:autoSpaceDE w:val="0"/>
        <w:autoSpaceDN w:val="0"/>
        <w:adjustRightInd w:val="0"/>
        <w:ind w:left="720" w:hanging="720"/>
        <w:rPr>
          <w:rFonts w:ascii="Garamond" w:hAnsi="Garamond"/>
        </w:rPr>
      </w:pPr>
      <w:r w:rsidRPr="00265269">
        <w:rPr>
          <w:rFonts w:ascii="Garamond" w:hAnsi="Garamond"/>
        </w:rPr>
        <w:t xml:space="preserve">Buntin, M. B., Burke, M. F., Hoaglin, M. C., &amp; Blumenthal, D. (2011). The Benefits of Health Information Technology: A Review of the Recent Literature Shows Predominantly Positive Results. </w:t>
      </w:r>
      <w:r w:rsidRPr="00265269">
        <w:rPr>
          <w:rFonts w:ascii="Garamond" w:hAnsi="Garamond"/>
          <w:i/>
          <w:iCs/>
        </w:rPr>
        <w:t>Health Affairs</w:t>
      </w:r>
      <w:r w:rsidRPr="00265269">
        <w:rPr>
          <w:rFonts w:ascii="Garamond" w:hAnsi="Garamond"/>
        </w:rPr>
        <w:t xml:space="preserve">, </w:t>
      </w:r>
      <w:r w:rsidRPr="00265269">
        <w:rPr>
          <w:rFonts w:ascii="Garamond" w:hAnsi="Garamond"/>
          <w:i/>
          <w:iCs/>
        </w:rPr>
        <w:t>30</w:t>
      </w:r>
      <w:r w:rsidRPr="00265269">
        <w:rPr>
          <w:rFonts w:ascii="Garamond" w:hAnsi="Garamond"/>
        </w:rPr>
        <w:t>(3), 464–471. doi:10.1377/hlthaff.2011.0178</w:t>
      </w:r>
    </w:p>
    <w:p w:rsidR="00434286" w:rsidRPr="00265269" w:rsidRDefault="00434286" w:rsidP="00434286">
      <w:pPr>
        <w:widowControl w:val="0"/>
        <w:autoSpaceDE w:val="0"/>
        <w:autoSpaceDN w:val="0"/>
        <w:adjustRightInd w:val="0"/>
        <w:ind w:left="720" w:hanging="720"/>
        <w:rPr>
          <w:rFonts w:ascii="Garamond" w:hAnsi="Garamond"/>
        </w:rPr>
      </w:pPr>
    </w:p>
    <w:p w:rsidR="00265269" w:rsidRPr="00265269" w:rsidRDefault="00265269" w:rsidP="00265269">
      <w:pPr>
        <w:autoSpaceDE w:val="0"/>
        <w:autoSpaceDN w:val="0"/>
        <w:adjustRightInd w:val="0"/>
        <w:spacing w:after="240"/>
        <w:ind w:left="720" w:hanging="720"/>
        <w:rPr>
          <w:rFonts w:ascii="Garamond" w:hAnsi="Garamond"/>
        </w:rPr>
      </w:pPr>
      <w:r w:rsidRPr="00265269">
        <w:rPr>
          <w:rFonts w:ascii="Garamond" w:hAnsi="Garamond"/>
        </w:rPr>
        <w:t>DesRoches, C., Campbell, E., Rao, R., Donelan, K., Ferris, T., Jha, A., Kausal, R., Levy, D.,  Rosenbaum, S., Shields, A., and Blumenthal, M. (2008) Electronic Health Records in Ambulatory Care — A National Survey of Physicians, New England Journal of Medicine, 359, July 3 50-60</w:t>
      </w:r>
    </w:p>
    <w:p w:rsidR="00286C49" w:rsidRPr="00265269" w:rsidRDefault="00286C49" w:rsidP="00434286">
      <w:pPr>
        <w:widowControl w:val="0"/>
        <w:autoSpaceDE w:val="0"/>
        <w:autoSpaceDN w:val="0"/>
        <w:adjustRightInd w:val="0"/>
        <w:ind w:left="720" w:hanging="720"/>
        <w:rPr>
          <w:rFonts w:ascii="Garamond" w:hAnsi="Garamond"/>
        </w:rPr>
      </w:pPr>
      <w:r w:rsidRPr="00265269">
        <w:rPr>
          <w:rFonts w:ascii="Garamond" w:hAnsi="Garamond"/>
        </w:rPr>
        <w:t>F</w:t>
      </w:r>
      <w:r w:rsidR="006A4CA4">
        <w:rPr>
          <w:rFonts w:ascii="Garamond" w:hAnsi="Garamond"/>
        </w:rPr>
        <w:t>rechtling</w:t>
      </w:r>
      <w:r w:rsidRPr="00265269">
        <w:rPr>
          <w:rFonts w:ascii="Garamond" w:hAnsi="Garamond"/>
        </w:rPr>
        <w:t xml:space="preserve">, J. (2007) </w:t>
      </w:r>
      <w:r w:rsidRPr="00265269">
        <w:rPr>
          <w:rFonts w:ascii="Garamond" w:hAnsi="Garamond"/>
          <w:i/>
        </w:rPr>
        <w:t>Logic Modelling Methods in Program Evaluation,</w:t>
      </w:r>
      <w:r w:rsidRPr="00265269">
        <w:rPr>
          <w:rFonts w:ascii="Garamond" w:hAnsi="Garamond"/>
        </w:rPr>
        <w:t xml:space="preserve"> San Francisco, Wiley </w:t>
      </w:r>
    </w:p>
    <w:p w:rsidR="00265269" w:rsidRPr="00265269" w:rsidRDefault="006A4CA4" w:rsidP="00265269">
      <w:pPr>
        <w:tabs>
          <w:tab w:val="left" w:pos="360"/>
        </w:tabs>
        <w:spacing w:before="240" w:after="240"/>
        <w:ind w:left="720" w:hanging="720"/>
        <w:rPr>
          <w:rFonts w:ascii="Garamond" w:hAnsi="Garamond"/>
        </w:rPr>
      </w:pPr>
      <w:r>
        <w:rPr>
          <w:rFonts w:ascii="Garamond" w:hAnsi="Garamond"/>
        </w:rPr>
        <w:t>G</w:t>
      </w:r>
      <w:r w:rsidR="00265269" w:rsidRPr="00265269">
        <w:rPr>
          <w:rFonts w:ascii="Garamond" w:hAnsi="Garamond"/>
        </w:rPr>
        <w:t xml:space="preserve">reif, J. M. (2009). Mammographic screening for breast cancer: An invited review of the benefits and costs. </w:t>
      </w:r>
      <w:r w:rsidR="00265269" w:rsidRPr="00265269">
        <w:rPr>
          <w:rFonts w:ascii="Garamond" w:hAnsi="Garamond"/>
          <w:i/>
        </w:rPr>
        <w:t>The Breast</w:t>
      </w:r>
      <w:r w:rsidR="00265269" w:rsidRPr="00265269">
        <w:rPr>
          <w:rFonts w:ascii="Garamond" w:hAnsi="Garamond"/>
        </w:rPr>
        <w:t>,</w:t>
      </w:r>
      <w:r w:rsidR="00265269" w:rsidRPr="00265269">
        <w:rPr>
          <w:rFonts w:ascii="Garamond" w:hAnsi="Garamond"/>
          <w:i/>
        </w:rPr>
        <w:t xml:space="preserve"> 19</w:t>
      </w:r>
      <w:r w:rsidR="00265269" w:rsidRPr="00265269">
        <w:rPr>
          <w:rFonts w:ascii="Garamond" w:hAnsi="Garamond"/>
        </w:rPr>
        <w:t>, 268–272.</w:t>
      </w:r>
    </w:p>
    <w:p w:rsidR="00265269" w:rsidRPr="00265269" w:rsidRDefault="00265269" w:rsidP="00265269">
      <w:pPr>
        <w:tabs>
          <w:tab w:val="left" w:pos="360"/>
        </w:tabs>
        <w:spacing w:before="240" w:after="240"/>
        <w:ind w:left="720" w:hanging="720"/>
        <w:rPr>
          <w:rFonts w:ascii="Garamond" w:hAnsi="Garamond"/>
        </w:rPr>
      </w:pPr>
      <w:r w:rsidRPr="00265269">
        <w:rPr>
          <w:rFonts w:ascii="Garamond" w:hAnsi="Garamond"/>
        </w:rPr>
        <w:t>Heitman, S. J</w:t>
      </w:r>
      <w:r w:rsidR="00DD6C6C">
        <w:rPr>
          <w:rFonts w:ascii="Garamond" w:hAnsi="Garamond"/>
        </w:rPr>
        <w:t>., Hilsden, R. J., Au, F., Dowde</w:t>
      </w:r>
      <w:r w:rsidRPr="00265269">
        <w:rPr>
          <w:rFonts w:ascii="Garamond" w:hAnsi="Garamond"/>
        </w:rPr>
        <w:t xml:space="preserve">n, S., &amp; Manns, B. J. (2010). Colorectal cancer screening for average-risk North Americans: An economic evaluation. </w:t>
      </w:r>
      <w:r w:rsidRPr="00265269">
        <w:rPr>
          <w:rFonts w:ascii="Garamond" w:hAnsi="Garamond"/>
          <w:i/>
        </w:rPr>
        <w:t>PLoS Medicine</w:t>
      </w:r>
      <w:r w:rsidRPr="00265269">
        <w:rPr>
          <w:rFonts w:ascii="Garamond" w:hAnsi="Garamond"/>
        </w:rPr>
        <w:t>,</w:t>
      </w:r>
      <w:r w:rsidRPr="00265269">
        <w:rPr>
          <w:rFonts w:ascii="Garamond" w:hAnsi="Garamond"/>
          <w:i/>
        </w:rPr>
        <w:t xml:space="preserve"> 7</w:t>
      </w:r>
      <w:r w:rsidRPr="00265269">
        <w:rPr>
          <w:rFonts w:ascii="Garamond" w:hAnsi="Garamond"/>
        </w:rPr>
        <w:t>(11), 1–13.</w:t>
      </w:r>
    </w:p>
    <w:p w:rsidR="00434286" w:rsidRPr="00265269" w:rsidRDefault="00434286" w:rsidP="00B708D3">
      <w:pPr>
        <w:widowControl w:val="0"/>
        <w:autoSpaceDE w:val="0"/>
        <w:autoSpaceDN w:val="0"/>
        <w:adjustRightInd w:val="0"/>
        <w:spacing w:before="240" w:after="240"/>
        <w:ind w:left="720" w:hanging="720"/>
        <w:rPr>
          <w:rFonts w:ascii="Garamond" w:hAnsi="Garamond"/>
        </w:rPr>
      </w:pPr>
      <w:r w:rsidRPr="00265269">
        <w:rPr>
          <w:rFonts w:ascii="Garamond" w:hAnsi="Garamond"/>
        </w:rPr>
        <w:t xml:space="preserve">Lau, F. (2011). Benefits of Health Information Technology—Are We There Yet? </w:t>
      </w:r>
      <w:r w:rsidRPr="00265269">
        <w:rPr>
          <w:rFonts w:ascii="Garamond" w:eastAsiaTheme="minorHAnsi" w:hAnsi="Garamond" w:cs="AvenirLTStd-BookOblique"/>
          <w:i/>
          <w:iCs/>
        </w:rPr>
        <w:t>iHealth Connections</w:t>
      </w:r>
      <w:r w:rsidRPr="00265269">
        <w:rPr>
          <w:rFonts w:ascii="Garamond" w:eastAsiaTheme="minorHAnsi" w:hAnsi="Garamond" w:cs="AvenirLTStd-Book"/>
        </w:rPr>
        <w:t>, 2011;1(2):148–50</w:t>
      </w:r>
    </w:p>
    <w:p w:rsidR="00265269" w:rsidRPr="00265269" w:rsidRDefault="00265269" w:rsidP="00265269">
      <w:pPr>
        <w:widowControl w:val="0"/>
        <w:autoSpaceDE w:val="0"/>
        <w:autoSpaceDN w:val="0"/>
        <w:adjustRightInd w:val="0"/>
        <w:ind w:left="720" w:hanging="720"/>
        <w:rPr>
          <w:rFonts w:ascii="Garamond" w:hAnsi="Garamond"/>
        </w:rPr>
      </w:pPr>
      <w:r w:rsidRPr="00265269">
        <w:rPr>
          <w:rFonts w:ascii="Garamond" w:hAnsi="Garamond"/>
        </w:rPr>
        <w:t>Lee, B, Rachel R. Bailey B., Wiringa, A., Wateska, A., Smith, K. Zimmerman, R. (2010) Economics of employer-sponsored workplace vaccination to prevent pandemic and seasonal influenza Vaccine Volume 28, Issue 37, 23 August 2010, Pages 5952–5959</w:t>
      </w:r>
    </w:p>
    <w:p w:rsidR="00265269" w:rsidRPr="00265269" w:rsidRDefault="00265269" w:rsidP="00265269">
      <w:pPr>
        <w:widowControl w:val="0"/>
        <w:autoSpaceDE w:val="0"/>
        <w:autoSpaceDN w:val="0"/>
        <w:adjustRightInd w:val="0"/>
        <w:spacing w:before="240" w:after="240"/>
        <w:ind w:left="720" w:hanging="720"/>
        <w:rPr>
          <w:rFonts w:ascii="Garamond" w:hAnsi="Garamond"/>
        </w:rPr>
      </w:pPr>
      <w:r w:rsidRPr="00265269">
        <w:rPr>
          <w:rFonts w:ascii="Garamond" w:hAnsi="Garamond"/>
        </w:rPr>
        <w:t xml:space="preserve">Manitoba Health (2011) “Estimating the Cost-Effectiveness of Evidence-Informed Primary Care: A Micro-simulation Analysis of Cancer Screening and Diabetes Management”  </w:t>
      </w:r>
      <w:hyperlink r:id="rId11" w:history="1">
        <w:r w:rsidRPr="00265269">
          <w:rPr>
            <w:rFonts w:ascii="Garamond" w:hAnsi="Garamond"/>
          </w:rPr>
          <w:t>http://www.gov.mb.ca/health/phc/pin/docs/cea.pdf</w:t>
        </w:r>
      </w:hyperlink>
      <w:r w:rsidRPr="00265269">
        <w:rPr>
          <w:rFonts w:ascii="Garamond" w:hAnsi="Garamond"/>
        </w:rPr>
        <w:t xml:space="preserve"> (accessed June 4, 2012)</w:t>
      </w:r>
    </w:p>
    <w:p w:rsidR="00AA36D1" w:rsidRPr="00265269" w:rsidRDefault="00AA36D1" w:rsidP="00AA36D1">
      <w:pPr>
        <w:pStyle w:val="PRANormal"/>
        <w:spacing w:before="240"/>
        <w:ind w:left="720" w:hanging="720"/>
        <w:rPr>
          <w:rFonts w:ascii="Garamond" w:hAnsi="Garamond"/>
          <w:szCs w:val="24"/>
        </w:rPr>
      </w:pPr>
      <w:r w:rsidRPr="00265269">
        <w:rPr>
          <w:rFonts w:ascii="Garamond" w:hAnsi="Garamond"/>
          <w:szCs w:val="24"/>
        </w:rPr>
        <w:t xml:space="preserve">O’Brien, J. A., Patrick, A. R., &amp; Caro, J. J. (2003). Cost of managing complications resulting from type 2 diabetes mellitus in Canada. </w:t>
      </w:r>
      <w:r w:rsidRPr="00265269">
        <w:rPr>
          <w:rFonts w:ascii="Garamond" w:hAnsi="Garamond"/>
          <w:i/>
          <w:iCs/>
          <w:szCs w:val="24"/>
        </w:rPr>
        <w:t>BMC Health Services Research</w:t>
      </w:r>
      <w:r w:rsidRPr="00265269">
        <w:rPr>
          <w:rFonts w:ascii="Garamond" w:hAnsi="Garamond"/>
          <w:szCs w:val="24"/>
        </w:rPr>
        <w:t xml:space="preserve">, </w:t>
      </w:r>
      <w:r w:rsidRPr="00265269">
        <w:rPr>
          <w:rFonts w:ascii="Garamond" w:hAnsi="Garamond"/>
          <w:i/>
          <w:iCs/>
          <w:szCs w:val="24"/>
        </w:rPr>
        <w:t>3</w:t>
      </w:r>
      <w:r w:rsidRPr="00265269">
        <w:rPr>
          <w:rFonts w:ascii="Garamond" w:hAnsi="Garamond"/>
          <w:szCs w:val="24"/>
        </w:rPr>
        <w:t>(1), 7.</w:t>
      </w:r>
    </w:p>
    <w:p w:rsidR="00265269" w:rsidRPr="00265269" w:rsidRDefault="00265269" w:rsidP="00265269">
      <w:pPr>
        <w:widowControl w:val="0"/>
        <w:autoSpaceDE w:val="0"/>
        <w:autoSpaceDN w:val="0"/>
        <w:adjustRightInd w:val="0"/>
        <w:spacing w:before="240" w:after="240"/>
        <w:ind w:left="720" w:hanging="720"/>
        <w:rPr>
          <w:rFonts w:ascii="Garamond" w:hAnsi="Garamond"/>
        </w:rPr>
      </w:pPr>
      <w:r w:rsidRPr="00265269">
        <w:rPr>
          <w:rFonts w:ascii="Garamond" w:hAnsi="Garamond"/>
        </w:rPr>
        <w:t xml:space="preserve">Stevens, R. J., Coleman, R. L., Adler, A. I., Stratton, I. M., Matthews, D. R., &amp; Holman, R. R. (2004). Risk factors for myocardial infarction case fatality and stroke case fatality in type 2 diabetes: UKPDS 66. </w:t>
      </w:r>
      <w:r w:rsidRPr="00265269">
        <w:rPr>
          <w:rFonts w:ascii="Garamond" w:hAnsi="Garamond"/>
          <w:i/>
          <w:iCs/>
        </w:rPr>
        <w:t>Diabetes Care</w:t>
      </w:r>
      <w:r w:rsidRPr="00265269">
        <w:rPr>
          <w:rFonts w:ascii="Garamond" w:hAnsi="Garamond"/>
        </w:rPr>
        <w:t xml:space="preserve">, </w:t>
      </w:r>
      <w:r w:rsidRPr="00265269">
        <w:rPr>
          <w:rFonts w:ascii="Garamond" w:hAnsi="Garamond"/>
          <w:i/>
          <w:iCs/>
        </w:rPr>
        <w:t>27</w:t>
      </w:r>
      <w:r w:rsidRPr="00265269">
        <w:rPr>
          <w:rFonts w:ascii="Garamond" w:hAnsi="Garamond"/>
        </w:rPr>
        <w:t>(1), 201–207. doi: 10.2337/diacare.27.1.201</w:t>
      </w:r>
    </w:p>
    <w:p w:rsidR="00265269" w:rsidRPr="00265269" w:rsidRDefault="00265269" w:rsidP="00B708D3">
      <w:pPr>
        <w:spacing w:before="240" w:after="240"/>
        <w:ind w:left="720" w:hanging="720"/>
        <w:rPr>
          <w:rFonts w:ascii="Garamond" w:hAnsi="Garamond"/>
        </w:rPr>
      </w:pPr>
      <w:r w:rsidRPr="00265269">
        <w:rPr>
          <w:rFonts w:ascii="Garamond" w:hAnsi="Garamond"/>
        </w:rPr>
        <w:t xml:space="preserve">Will, B. P, Berthelot, J-M., LePetit, C., Tomiak, E. M., Verma, S., &amp; Evans, W. K. (2000).  Estimates of the lifetime costs of breast cancer treatment in Canada.  </w:t>
      </w:r>
      <w:r w:rsidRPr="00265269">
        <w:rPr>
          <w:rFonts w:ascii="Garamond" w:hAnsi="Garamond"/>
          <w:i/>
        </w:rPr>
        <w:t>European Journal of Cancer</w:t>
      </w:r>
      <w:r w:rsidRPr="00265269">
        <w:rPr>
          <w:rFonts w:ascii="Garamond" w:hAnsi="Garamond"/>
        </w:rPr>
        <w:t>, 36, 724–735.</w:t>
      </w:r>
    </w:p>
    <w:p w:rsidR="00AA36D1" w:rsidRPr="00265269" w:rsidRDefault="00AA36D1" w:rsidP="00AA36D1">
      <w:pPr>
        <w:widowControl w:val="0"/>
        <w:autoSpaceDE w:val="0"/>
        <w:autoSpaceDN w:val="0"/>
        <w:adjustRightInd w:val="0"/>
        <w:ind w:left="720" w:hanging="720"/>
        <w:rPr>
          <w:rFonts w:ascii="Garamond" w:hAnsi="Garamond"/>
        </w:rPr>
      </w:pPr>
      <w:r w:rsidRPr="00265269">
        <w:rPr>
          <w:rFonts w:ascii="Garamond" w:hAnsi="Garamond"/>
        </w:rPr>
        <w:t xml:space="preserve">Woolf, S. H., &amp; Harris, R. (2012). The Harms of Screening New Attention to an Old Concern. </w:t>
      </w:r>
      <w:r w:rsidRPr="00265269">
        <w:rPr>
          <w:rFonts w:ascii="Garamond" w:hAnsi="Garamond"/>
          <w:i/>
          <w:iCs/>
        </w:rPr>
        <w:t>JAMA: The Journal of the American Medical Association</w:t>
      </w:r>
      <w:r w:rsidRPr="00265269">
        <w:rPr>
          <w:rFonts w:ascii="Garamond" w:hAnsi="Garamond"/>
        </w:rPr>
        <w:t xml:space="preserve">, </w:t>
      </w:r>
      <w:r w:rsidRPr="00265269">
        <w:rPr>
          <w:rFonts w:ascii="Garamond" w:hAnsi="Garamond"/>
          <w:i/>
          <w:iCs/>
        </w:rPr>
        <w:t>307</w:t>
      </w:r>
      <w:r w:rsidRPr="00265269">
        <w:rPr>
          <w:rFonts w:ascii="Garamond" w:hAnsi="Garamond"/>
        </w:rPr>
        <w:t>(6), 565–566.</w:t>
      </w:r>
    </w:p>
    <w:sectPr w:rsidR="00AA36D1" w:rsidRPr="00265269" w:rsidSect="00E50B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EE" w:rsidRDefault="00173BEE" w:rsidP="00086064">
      <w:r>
        <w:separator/>
      </w:r>
    </w:p>
  </w:endnote>
  <w:endnote w:type="continuationSeparator" w:id="0">
    <w:p w:rsidR="00173BEE" w:rsidRDefault="00173BEE" w:rsidP="00086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ECFD32">
    <w:panose1 w:val="00000000000000000000"/>
    <w:charset w:val="00"/>
    <w:family w:val="swiss"/>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EE" w:rsidRDefault="00173BEE" w:rsidP="00086064">
      <w:r>
        <w:separator/>
      </w:r>
    </w:p>
  </w:footnote>
  <w:footnote w:type="continuationSeparator" w:id="0">
    <w:p w:rsidR="00173BEE" w:rsidRDefault="00173BEE" w:rsidP="00086064">
      <w:r>
        <w:continuationSeparator/>
      </w:r>
    </w:p>
  </w:footnote>
  <w:footnote w:id="1">
    <w:p w:rsidR="00173BEE" w:rsidRPr="00B708D3" w:rsidRDefault="00173BEE" w:rsidP="00086064">
      <w:pPr>
        <w:pStyle w:val="FootnoteText"/>
        <w:ind w:left="720" w:hanging="720"/>
        <w:rPr>
          <w:rFonts w:ascii="Garamond" w:hAnsi="Garamond"/>
        </w:rPr>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r>
      <w:r w:rsidRPr="00B708D3">
        <w:rPr>
          <w:rFonts w:ascii="Garamond" w:hAnsi="Garamond"/>
        </w:rPr>
        <w:t>PRA Inc (www.pra.ca), Winnipeg, Manitoba, Canada  and Department of Economics, University of Manitoba</w:t>
      </w:r>
    </w:p>
  </w:footnote>
  <w:footnote w:id="2">
    <w:p w:rsidR="00173BEE" w:rsidRPr="00B708D3"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t>PRA Inc.</w:t>
      </w:r>
      <w:r w:rsidR="000F2F4B" w:rsidRPr="00B708D3">
        <w:rPr>
          <w:rFonts w:ascii="Garamond" w:hAnsi="Garamond"/>
        </w:rPr>
        <w:t>,</w:t>
      </w:r>
      <w:r w:rsidRPr="00B708D3">
        <w:rPr>
          <w:rFonts w:ascii="Garamond" w:hAnsi="Garamond"/>
        </w:rPr>
        <w:t xml:space="preserve"> Winnipeg, Manitoba, Canada  </w:t>
      </w:r>
    </w:p>
  </w:footnote>
  <w:footnote w:id="3">
    <w:p w:rsidR="00173BEE" w:rsidRPr="00B708D3"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t>PRA Inc.</w:t>
      </w:r>
      <w:r w:rsidR="000F2F4B" w:rsidRPr="00B708D3">
        <w:rPr>
          <w:rFonts w:ascii="Garamond" w:hAnsi="Garamond"/>
        </w:rPr>
        <w:t>,</w:t>
      </w:r>
      <w:r w:rsidRPr="00B708D3">
        <w:rPr>
          <w:rFonts w:ascii="Garamond" w:hAnsi="Garamond"/>
        </w:rPr>
        <w:t xml:space="preserve"> Winnipeg, Manitoba, Canada  </w:t>
      </w:r>
    </w:p>
  </w:footnote>
  <w:footnote w:id="4">
    <w:p w:rsidR="00173BEE" w:rsidRPr="00B708D3" w:rsidRDefault="00173BEE" w:rsidP="00086064">
      <w:pPr>
        <w:autoSpaceDE w:val="0"/>
        <w:autoSpaceDN w:val="0"/>
        <w:adjustRightInd w:val="0"/>
        <w:ind w:left="720" w:hanging="720"/>
        <w:rPr>
          <w:rFonts w:ascii="Garamond" w:hAnsi="Garamond"/>
          <w:sz w:val="20"/>
          <w:szCs w:val="20"/>
        </w:rPr>
      </w:pPr>
      <w:r w:rsidRPr="00B708D3">
        <w:rPr>
          <w:rStyle w:val="FootnoteReference"/>
          <w:rFonts w:ascii="Garamond" w:hAnsi="Garamond"/>
        </w:rPr>
        <w:footnoteRef/>
      </w:r>
      <w:r w:rsidRPr="00B708D3">
        <w:rPr>
          <w:rFonts w:ascii="Garamond" w:hAnsi="Garamond"/>
          <w:sz w:val="20"/>
          <w:szCs w:val="20"/>
        </w:rPr>
        <w:t xml:space="preserve"> </w:t>
      </w:r>
      <w:r w:rsidRPr="00B708D3">
        <w:rPr>
          <w:rFonts w:ascii="Garamond" w:hAnsi="Garamond"/>
          <w:sz w:val="20"/>
          <w:szCs w:val="20"/>
        </w:rPr>
        <w:tab/>
      </w:r>
      <w:r w:rsidRPr="00B708D3">
        <w:rPr>
          <w:rFonts w:ascii="Garamond" w:eastAsiaTheme="minorHAnsi" w:hAnsi="Garamond"/>
          <w:sz w:val="20"/>
          <w:szCs w:val="20"/>
        </w:rPr>
        <w:t>School of Health Information Science, University of Victoria, British Columbia ,Canada</w:t>
      </w:r>
    </w:p>
  </w:footnote>
  <w:footnote w:id="5">
    <w:p w:rsidR="00173BEE" w:rsidRPr="00B708D3" w:rsidRDefault="00173BEE" w:rsidP="00086064">
      <w:pPr>
        <w:autoSpaceDE w:val="0"/>
        <w:autoSpaceDN w:val="0"/>
        <w:adjustRightInd w:val="0"/>
        <w:ind w:left="720" w:hanging="720"/>
        <w:rPr>
          <w:rFonts w:ascii="Garamond" w:hAnsi="Garamond"/>
          <w:sz w:val="20"/>
          <w:szCs w:val="20"/>
        </w:rPr>
      </w:pPr>
      <w:r w:rsidRPr="00B708D3">
        <w:rPr>
          <w:rStyle w:val="FootnoteReference"/>
          <w:rFonts w:ascii="Garamond" w:hAnsi="Garamond"/>
        </w:rPr>
        <w:footnoteRef/>
      </w:r>
      <w:r w:rsidRPr="00B708D3">
        <w:rPr>
          <w:rFonts w:ascii="Garamond" w:hAnsi="Garamond"/>
          <w:sz w:val="20"/>
          <w:szCs w:val="20"/>
        </w:rPr>
        <w:t xml:space="preserve"> </w:t>
      </w:r>
      <w:r w:rsidRPr="00B708D3">
        <w:rPr>
          <w:rFonts w:ascii="Garamond" w:hAnsi="Garamond"/>
          <w:sz w:val="20"/>
          <w:szCs w:val="20"/>
        </w:rPr>
        <w:tab/>
      </w:r>
      <w:r w:rsidRPr="00B708D3">
        <w:rPr>
          <w:rFonts w:ascii="Garamond" w:eastAsiaTheme="minorHAnsi" w:hAnsi="Garamond" w:cs="AdvPECFD32"/>
          <w:sz w:val="20"/>
          <w:szCs w:val="20"/>
        </w:rPr>
        <w:t>Department of Family Practice, University of British Columbia, Vancouver, British Columbia, Canada</w:t>
      </w:r>
    </w:p>
  </w:footnote>
  <w:footnote w:id="6">
    <w:p w:rsidR="00173BEE" w:rsidRPr="00B708D3"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t>Department of Community Health Sciences, University of Manitoba, Winnipeg, Manitoba</w:t>
      </w:r>
    </w:p>
  </w:footnote>
  <w:footnote w:id="7">
    <w:p w:rsidR="00173BEE" w:rsidRPr="00B708D3"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t>Principal, InfoClin, Toronto, Ontario</w:t>
      </w:r>
    </w:p>
  </w:footnote>
  <w:footnote w:id="8">
    <w:p w:rsidR="00173BEE" w:rsidRPr="00B708D3"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r>
      <w:r w:rsidRPr="00B708D3">
        <w:rPr>
          <w:rFonts w:ascii="Garamond" w:hAnsi="Garamond"/>
          <w:color w:val="000000"/>
        </w:rPr>
        <w:t>Department of Family and Community Medicine</w:t>
      </w:r>
      <w:r w:rsidRPr="00B708D3">
        <w:rPr>
          <w:rFonts w:ascii="Garamond" w:hAnsi="Garamond"/>
        </w:rPr>
        <w:t>, University of Toronto, Ontario</w:t>
      </w:r>
      <w:r w:rsidR="000F2F4B" w:rsidRPr="00B708D3">
        <w:rPr>
          <w:rFonts w:ascii="Garamond" w:hAnsi="Garamond"/>
        </w:rPr>
        <w:t>,</w:t>
      </w:r>
      <w:r w:rsidRPr="00B708D3">
        <w:rPr>
          <w:rFonts w:ascii="Garamond" w:hAnsi="Garamond"/>
        </w:rPr>
        <w:t xml:space="preserve"> Canada</w:t>
      </w:r>
    </w:p>
  </w:footnote>
  <w:footnote w:id="9">
    <w:p w:rsidR="00173BEE" w:rsidRPr="00070DEA" w:rsidRDefault="00173BEE" w:rsidP="00086064">
      <w:pPr>
        <w:pStyle w:val="FootnoteText"/>
        <w:ind w:left="720" w:hanging="720"/>
        <w:rPr>
          <w:rFonts w:ascii="Garamond" w:hAnsi="Garamond"/>
        </w:rPr>
      </w:pPr>
      <w:r w:rsidRPr="00B708D3">
        <w:rPr>
          <w:rStyle w:val="FootnoteReference"/>
          <w:rFonts w:ascii="Garamond" w:hAnsi="Garamond"/>
        </w:rPr>
        <w:footnoteRef/>
      </w:r>
      <w:r w:rsidRPr="00B708D3">
        <w:rPr>
          <w:rFonts w:ascii="Garamond" w:hAnsi="Garamond"/>
        </w:rPr>
        <w:t xml:space="preserve"> </w:t>
      </w:r>
      <w:r w:rsidRPr="00B708D3">
        <w:rPr>
          <w:rFonts w:ascii="Garamond" w:hAnsi="Garamond"/>
        </w:rPr>
        <w:tab/>
        <w:t>Department of Family Medicine, McMaster University</w:t>
      </w:r>
      <w:r w:rsidR="000F2F4B" w:rsidRPr="00B708D3">
        <w:rPr>
          <w:rFonts w:ascii="Garamond" w:hAnsi="Garamond"/>
        </w:rPr>
        <w:t>, Hamilton, Ontario, Canada</w:t>
      </w:r>
    </w:p>
  </w:footnote>
  <w:footnote w:id="10">
    <w:p w:rsidR="00173BEE" w:rsidRDefault="00173BEE" w:rsidP="00B708D3">
      <w:pPr>
        <w:pStyle w:val="FootnoteText"/>
        <w:ind w:left="720" w:hanging="720"/>
      </w:pPr>
      <w:r>
        <w:rPr>
          <w:rStyle w:val="FootnoteReference"/>
        </w:rPr>
        <w:footnoteRef/>
      </w:r>
      <w:r w:rsidR="00B708D3">
        <w:tab/>
      </w:r>
      <w:r w:rsidRPr="00B708D3">
        <w:t>The term “health information technology” encompasses many elements, such as electronic medical records, electronic health records, etc.  The distinction among these definitions is not germane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782"/>
      <w:docPartObj>
        <w:docPartGallery w:val="Page Numbers (Top of Page)"/>
        <w:docPartUnique/>
      </w:docPartObj>
    </w:sdtPr>
    <w:sdtContent>
      <w:p w:rsidR="00AD73E1" w:rsidRDefault="00A96319">
        <w:pPr>
          <w:pStyle w:val="Header"/>
          <w:jc w:val="right"/>
        </w:pPr>
        <w:fldSimple w:instr=" PAGE   \* MERGEFORMAT ">
          <w:r w:rsidR="00C55360">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F46"/>
    <w:multiLevelType w:val="hybridMultilevel"/>
    <w:tmpl w:val="91A040F4"/>
    <w:lvl w:ilvl="0" w:tplc="45764C04">
      <w:start w:val="1"/>
      <w:numFmt w:val="decimal"/>
      <w:lvlText w:val="%1."/>
      <w:lvlJc w:val="left"/>
      <w:pPr>
        <w:ind w:left="540" w:hanging="360"/>
      </w:pPr>
      <w:rPr>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nsid w:val="07D80A5D"/>
    <w:multiLevelType w:val="hybridMultilevel"/>
    <w:tmpl w:val="863A09E6"/>
    <w:lvl w:ilvl="0" w:tplc="57E8DF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7C7A59"/>
    <w:multiLevelType w:val="hybridMultilevel"/>
    <w:tmpl w:val="F8F2ECA8"/>
    <w:lvl w:ilvl="0" w:tplc="D7CEB4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3D55DE"/>
    <w:multiLevelType w:val="hybridMultilevel"/>
    <w:tmpl w:val="FA6235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774ED4"/>
    <w:multiLevelType w:val="hybridMultilevel"/>
    <w:tmpl w:val="D0329842"/>
    <w:lvl w:ilvl="0" w:tplc="4AF0600C">
      <w:start w:val="1"/>
      <w:numFmt w:val="decimal"/>
      <w:lvlText w:val="%1."/>
      <w:lvlJc w:val="left"/>
      <w:pPr>
        <w:ind w:left="5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371466"/>
    <w:multiLevelType w:val="hybridMultilevel"/>
    <w:tmpl w:val="6700E346"/>
    <w:lvl w:ilvl="0" w:tplc="3438935A">
      <w:start w:val="1"/>
      <w:numFmt w:val="bullet"/>
      <w:pStyle w:val="Bullet"/>
      <w:lvlText w:val="►"/>
      <w:lvlJc w:val="left"/>
      <w:pPr>
        <w:ind w:left="72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233E5F"/>
    <w:multiLevelType w:val="hybridMultilevel"/>
    <w:tmpl w:val="05943BCE"/>
    <w:lvl w:ilvl="0" w:tplc="7D34C4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6B1FDF"/>
    <w:multiLevelType w:val="hybridMultilevel"/>
    <w:tmpl w:val="C60AE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06066F"/>
    <w:multiLevelType w:val="hybridMultilevel"/>
    <w:tmpl w:val="132A9082"/>
    <w:lvl w:ilvl="0" w:tplc="C0808BBC">
      <w:start w:val="1"/>
      <w:numFmt w:val="decimal"/>
      <w:lvlText w:val="%1."/>
      <w:lvlJc w:val="left"/>
      <w:pPr>
        <w:ind w:left="5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322750"/>
    <w:multiLevelType w:val="hybridMultilevel"/>
    <w:tmpl w:val="CC603186"/>
    <w:lvl w:ilvl="0" w:tplc="6FEC39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F776A9"/>
    <w:multiLevelType w:val="hybridMultilevel"/>
    <w:tmpl w:val="4B66DACE"/>
    <w:lvl w:ilvl="0" w:tplc="CD8ADD52">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6F723D"/>
    <w:multiLevelType w:val="hybridMultilevel"/>
    <w:tmpl w:val="B2725092"/>
    <w:lvl w:ilvl="0" w:tplc="E9724644">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19C3B38"/>
    <w:multiLevelType w:val="hybridMultilevel"/>
    <w:tmpl w:val="2540889E"/>
    <w:lvl w:ilvl="0" w:tplc="6CF80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36535E0"/>
    <w:multiLevelType w:val="hybridMultilevel"/>
    <w:tmpl w:val="012C4696"/>
    <w:lvl w:ilvl="0" w:tplc="98E87C7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735D67"/>
    <w:multiLevelType w:val="hybridMultilevel"/>
    <w:tmpl w:val="FE6E784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E6732F"/>
    <w:multiLevelType w:val="multilevel"/>
    <w:tmpl w:val="2D4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14DE5"/>
    <w:multiLevelType w:val="hybridMultilevel"/>
    <w:tmpl w:val="016605DA"/>
    <w:lvl w:ilvl="0" w:tplc="D7E4F8FA">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B14495"/>
    <w:multiLevelType w:val="hybridMultilevel"/>
    <w:tmpl w:val="AA6A465A"/>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9">
    <w:nsid w:val="5D4F73A4"/>
    <w:multiLevelType w:val="hybridMultilevel"/>
    <w:tmpl w:val="6C78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517CC"/>
    <w:multiLevelType w:val="hybridMultilevel"/>
    <w:tmpl w:val="DDEC478E"/>
    <w:lvl w:ilvl="0" w:tplc="A1187DF6">
      <w:start w:val="1"/>
      <w:numFmt w:val="decimal"/>
      <w:lvlText w:val="%1."/>
      <w:lvlJc w:val="left"/>
      <w:pPr>
        <w:ind w:left="720" w:hanging="360"/>
      </w:pPr>
      <w:rPr>
        <w:rFont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5E5CB1"/>
    <w:multiLevelType w:val="hybridMultilevel"/>
    <w:tmpl w:val="87AEC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C647CCD"/>
    <w:multiLevelType w:val="hybridMultilevel"/>
    <w:tmpl w:val="206E75F8"/>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E5B96"/>
    <w:multiLevelType w:val="multilevel"/>
    <w:tmpl w:val="86EA68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none"/>
      <w:pStyle w:val="Heading4"/>
      <w:lvlText w:val="%4"/>
      <w:lvlJc w:val="left"/>
      <w:pPr>
        <w:tabs>
          <w:tab w:val="num" w:pos="2520"/>
        </w:tabs>
        <w:ind w:left="2520" w:firstLine="0"/>
      </w:pPr>
      <w:rPr>
        <w:rFonts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abstractNum w:abstractNumId="24">
    <w:nsid w:val="76167661"/>
    <w:multiLevelType w:val="hybridMultilevel"/>
    <w:tmpl w:val="93B292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5"/>
  </w:num>
  <w:num w:numId="3">
    <w:abstractNumId w:val="23"/>
  </w:num>
  <w:num w:numId="4">
    <w:abstractNumId w:val="23"/>
  </w:num>
  <w:num w:numId="5">
    <w:abstractNumId w:val="5"/>
  </w:num>
  <w:num w:numId="6">
    <w:abstractNumId w:val="7"/>
  </w:num>
  <w:num w:numId="7">
    <w:abstractNumId w:val="0"/>
  </w:num>
  <w:num w:numId="8">
    <w:abstractNumId w:val="19"/>
  </w:num>
  <w:num w:numId="9">
    <w:abstractNumId w:val="17"/>
  </w:num>
  <w:num w:numId="10">
    <w:abstractNumId w:val="11"/>
  </w:num>
  <w:num w:numId="11">
    <w:abstractNumId w:val="24"/>
  </w:num>
  <w:num w:numId="12">
    <w:abstractNumId w:val="1"/>
  </w:num>
  <w:num w:numId="13">
    <w:abstractNumId w:val="22"/>
  </w:num>
  <w:num w:numId="14">
    <w:abstractNumId w:val="10"/>
  </w:num>
  <w:num w:numId="15">
    <w:abstractNumId w:val="2"/>
  </w:num>
  <w:num w:numId="16">
    <w:abstractNumId w:val="14"/>
  </w:num>
  <w:num w:numId="17">
    <w:abstractNumId w:val="13"/>
  </w:num>
  <w:num w:numId="18">
    <w:abstractNumId w:val="21"/>
  </w:num>
  <w:num w:numId="19">
    <w:abstractNumId w:val="15"/>
  </w:num>
  <w:num w:numId="20">
    <w:abstractNumId w:val="12"/>
  </w:num>
  <w:num w:numId="21">
    <w:abstractNumId w:val="20"/>
  </w:num>
  <w:num w:numId="22">
    <w:abstractNumId w:val="8"/>
  </w:num>
  <w:num w:numId="23">
    <w:abstractNumId w:val="6"/>
  </w:num>
  <w:num w:numId="24">
    <w:abstractNumId w:val="18"/>
  </w:num>
  <w:num w:numId="25">
    <w:abstractNumId w:val="9"/>
  </w:num>
  <w:num w:numId="26">
    <w:abstractNumId w:val="4"/>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6064"/>
    <w:rsid w:val="00003083"/>
    <w:rsid w:val="00012D96"/>
    <w:rsid w:val="000174D3"/>
    <w:rsid w:val="000336E5"/>
    <w:rsid w:val="00044A86"/>
    <w:rsid w:val="00052E58"/>
    <w:rsid w:val="00057DCD"/>
    <w:rsid w:val="00076A63"/>
    <w:rsid w:val="00086064"/>
    <w:rsid w:val="00086877"/>
    <w:rsid w:val="000A6065"/>
    <w:rsid w:val="000A6573"/>
    <w:rsid w:val="000B2048"/>
    <w:rsid w:val="000D7395"/>
    <w:rsid w:val="000E254A"/>
    <w:rsid w:val="000F2F4B"/>
    <w:rsid w:val="00100092"/>
    <w:rsid w:val="00102DD5"/>
    <w:rsid w:val="00106325"/>
    <w:rsid w:val="00125702"/>
    <w:rsid w:val="00135E8C"/>
    <w:rsid w:val="00135EEE"/>
    <w:rsid w:val="00162112"/>
    <w:rsid w:val="00173BEE"/>
    <w:rsid w:val="00177A35"/>
    <w:rsid w:val="001A315D"/>
    <w:rsid w:val="001C4294"/>
    <w:rsid w:val="001E3D40"/>
    <w:rsid w:val="001E43A3"/>
    <w:rsid w:val="001E5B3F"/>
    <w:rsid w:val="0020487C"/>
    <w:rsid w:val="002144FD"/>
    <w:rsid w:val="00220852"/>
    <w:rsid w:val="002337E2"/>
    <w:rsid w:val="00233883"/>
    <w:rsid w:val="00263A74"/>
    <w:rsid w:val="00265269"/>
    <w:rsid w:val="00286C49"/>
    <w:rsid w:val="00296917"/>
    <w:rsid w:val="002C00ED"/>
    <w:rsid w:val="002D7225"/>
    <w:rsid w:val="002F3ADF"/>
    <w:rsid w:val="0032488F"/>
    <w:rsid w:val="0033326B"/>
    <w:rsid w:val="00356B80"/>
    <w:rsid w:val="003600F4"/>
    <w:rsid w:val="00360BAF"/>
    <w:rsid w:val="00365B32"/>
    <w:rsid w:val="0039532A"/>
    <w:rsid w:val="003B5948"/>
    <w:rsid w:val="003C30AC"/>
    <w:rsid w:val="003C3A3C"/>
    <w:rsid w:val="003F52DF"/>
    <w:rsid w:val="0041197D"/>
    <w:rsid w:val="00415B94"/>
    <w:rsid w:val="004165DD"/>
    <w:rsid w:val="0041697C"/>
    <w:rsid w:val="004172D9"/>
    <w:rsid w:val="00434286"/>
    <w:rsid w:val="004345C4"/>
    <w:rsid w:val="004362E7"/>
    <w:rsid w:val="0045535C"/>
    <w:rsid w:val="00471BD4"/>
    <w:rsid w:val="00473FC5"/>
    <w:rsid w:val="004746D5"/>
    <w:rsid w:val="00475A27"/>
    <w:rsid w:val="004843FC"/>
    <w:rsid w:val="0049168C"/>
    <w:rsid w:val="004A3A83"/>
    <w:rsid w:val="004A54DC"/>
    <w:rsid w:val="004B1EC2"/>
    <w:rsid w:val="004D51AF"/>
    <w:rsid w:val="00502902"/>
    <w:rsid w:val="00506A43"/>
    <w:rsid w:val="00511E95"/>
    <w:rsid w:val="00514A2E"/>
    <w:rsid w:val="00522185"/>
    <w:rsid w:val="00525E7E"/>
    <w:rsid w:val="00527876"/>
    <w:rsid w:val="00541728"/>
    <w:rsid w:val="00551307"/>
    <w:rsid w:val="005554F2"/>
    <w:rsid w:val="00555855"/>
    <w:rsid w:val="00563402"/>
    <w:rsid w:val="0057136C"/>
    <w:rsid w:val="00576593"/>
    <w:rsid w:val="005809F8"/>
    <w:rsid w:val="00587B49"/>
    <w:rsid w:val="005C0E51"/>
    <w:rsid w:val="005C55DB"/>
    <w:rsid w:val="005D1C4C"/>
    <w:rsid w:val="005D2AE6"/>
    <w:rsid w:val="005D308E"/>
    <w:rsid w:val="005D4599"/>
    <w:rsid w:val="005F76DB"/>
    <w:rsid w:val="00617F7F"/>
    <w:rsid w:val="006211A2"/>
    <w:rsid w:val="0066627B"/>
    <w:rsid w:val="006702D5"/>
    <w:rsid w:val="006758DD"/>
    <w:rsid w:val="006841DF"/>
    <w:rsid w:val="00685E37"/>
    <w:rsid w:val="006A4CA4"/>
    <w:rsid w:val="006A50DD"/>
    <w:rsid w:val="006E1D46"/>
    <w:rsid w:val="006F52C5"/>
    <w:rsid w:val="006F7CED"/>
    <w:rsid w:val="00711A3C"/>
    <w:rsid w:val="00741293"/>
    <w:rsid w:val="00750191"/>
    <w:rsid w:val="00753D8C"/>
    <w:rsid w:val="00784557"/>
    <w:rsid w:val="007974E1"/>
    <w:rsid w:val="00797D1F"/>
    <w:rsid w:val="007E3D83"/>
    <w:rsid w:val="007E5E5D"/>
    <w:rsid w:val="007F3D3C"/>
    <w:rsid w:val="007F53B8"/>
    <w:rsid w:val="00805962"/>
    <w:rsid w:val="00806145"/>
    <w:rsid w:val="00830E9F"/>
    <w:rsid w:val="008328A5"/>
    <w:rsid w:val="00833F83"/>
    <w:rsid w:val="008512C9"/>
    <w:rsid w:val="008531EE"/>
    <w:rsid w:val="008935BE"/>
    <w:rsid w:val="008F40C7"/>
    <w:rsid w:val="008F4DCF"/>
    <w:rsid w:val="00905015"/>
    <w:rsid w:val="00913E18"/>
    <w:rsid w:val="0092470C"/>
    <w:rsid w:val="0093558F"/>
    <w:rsid w:val="00936DB6"/>
    <w:rsid w:val="00950CF9"/>
    <w:rsid w:val="009524D8"/>
    <w:rsid w:val="0095516B"/>
    <w:rsid w:val="00964DC6"/>
    <w:rsid w:val="00992643"/>
    <w:rsid w:val="009B0C80"/>
    <w:rsid w:val="009C1F00"/>
    <w:rsid w:val="009C4E59"/>
    <w:rsid w:val="009D293F"/>
    <w:rsid w:val="009D6DD7"/>
    <w:rsid w:val="009E07DE"/>
    <w:rsid w:val="009E4628"/>
    <w:rsid w:val="009F1587"/>
    <w:rsid w:val="009F2F9B"/>
    <w:rsid w:val="00A057A0"/>
    <w:rsid w:val="00A11C3B"/>
    <w:rsid w:val="00A36080"/>
    <w:rsid w:val="00A36B44"/>
    <w:rsid w:val="00A4238A"/>
    <w:rsid w:val="00A57516"/>
    <w:rsid w:val="00A857E0"/>
    <w:rsid w:val="00A94E5D"/>
    <w:rsid w:val="00A96319"/>
    <w:rsid w:val="00AA36D1"/>
    <w:rsid w:val="00AA7544"/>
    <w:rsid w:val="00AD45EB"/>
    <w:rsid w:val="00AD73E1"/>
    <w:rsid w:val="00AF40F1"/>
    <w:rsid w:val="00B0706B"/>
    <w:rsid w:val="00B140E4"/>
    <w:rsid w:val="00B406E3"/>
    <w:rsid w:val="00B708D3"/>
    <w:rsid w:val="00B71345"/>
    <w:rsid w:val="00B74360"/>
    <w:rsid w:val="00BA2DE3"/>
    <w:rsid w:val="00BA5EDE"/>
    <w:rsid w:val="00BC485F"/>
    <w:rsid w:val="00BC4CC5"/>
    <w:rsid w:val="00BD6A3D"/>
    <w:rsid w:val="00BE62E0"/>
    <w:rsid w:val="00C02973"/>
    <w:rsid w:val="00C10F57"/>
    <w:rsid w:val="00C23DFF"/>
    <w:rsid w:val="00C44052"/>
    <w:rsid w:val="00C51A5E"/>
    <w:rsid w:val="00C54FE4"/>
    <w:rsid w:val="00C55360"/>
    <w:rsid w:val="00C6328F"/>
    <w:rsid w:val="00C762EC"/>
    <w:rsid w:val="00C81681"/>
    <w:rsid w:val="00C907E1"/>
    <w:rsid w:val="00CC4DFE"/>
    <w:rsid w:val="00CD0C92"/>
    <w:rsid w:val="00CF031E"/>
    <w:rsid w:val="00CF2E80"/>
    <w:rsid w:val="00CF33F1"/>
    <w:rsid w:val="00D0216F"/>
    <w:rsid w:val="00D4332F"/>
    <w:rsid w:val="00D57D67"/>
    <w:rsid w:val="00D735F9"/>
    <w:rsid w:val="00D829CB"/>
    <w:rsid w:val="00D96881"/>
    <w:rsid w:val="00DA1F10"/>
    <w:rsid w:val="00DB4D56"/>
    <w:rsid w:val="00DC2E12"/>
    <w:rsid w:val="00DD5CFA"/>
    <w:rsid w:val="00DD6C6C"/>
    <w:rsid w:val="00E2585C"/>
    <w:rsid w:val="00E33149"/>
    <w:rsid w:val="00E40E24"/>
    <w:rsid w:val="00E47EB7"/>
    <w:rsid w:val="00E50B5B"/>
    <w:rsid w:val="00E520C1"/>
    <w:rsid w:val="00E53EA5"/>
    <w:rsid w:val="00E6725C"/>
    <w:rsid w:val="00EA1AB8"/>
    <w:rsid w:val="00EA6FB6"/>
    <w:rsid w:val="00EB1DA0"/>
    <w:rsid w:val="00EE1185"/>
    <w:rsid w:val="00EE3BE7"/>
    <w:rsid w:val="00EF6247"/>
    <w:rsid w:val="00F0063C"/>
    <w:rsid w:val="00F360F2"/>
    <w:rsid w:val="00F40C64"/>
    <w:rsid w:val="00F8614A"/>
    <w:rsid w:val="00F862DF"/>
    <w:rsid w:val="00F93FDA"/>
    <w:rsid w:val="00FC21DC"/>
    <w:rsid w:val="00FC29ED"/>
    <w:rsid w:val="00FC4285"/>
    <w:rsid w:val="00FC4B32"/>
    <w:rsid w:val="00FD1DDB"/>
    <w:rsid w:val="00FD5F1A"/>
    <w:rsid w:val="00FD76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064"/>
    <w:pPr>
      <w:spacing w:after="0" w:line="240" w:lineRule="auto"/>
    </w:pPr>
    <w:rPr>
      <w:rFonts w:eastAsia="Times New Roman"/>
      <w:szCs w:val="24"/>
      <w:lang w:val="en-CA"/>
    </w:rPr>
  </w:style>
  <w:style w:type="paragraph" w:styleId="Heading1">
    <w:name w:val="heading 1"/>
    <w:basedOn w:val="Normal"/>
    <w:next w:val="Normal"/>
    <w:link w:val="Heading1Char"/>
    <w:uiPriority w:val="9"/>
    <w:qFormat/>
    <w:rsid w:val="004746D5"/>
    <w:pPr>
      <w:keepNext/>
      <w:keepLines/>
      <w:numPr>
        <w:numId w:val="4"/>
      </w:numP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746D5"/>
    <w:pPr>
      <w:keepNext/>
      <w:keepLines/>
      <w:numPr>
        <w:ilvl w:val="1"/>
        <w:numId w:val="4"/>
      </w:numP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746D5"/>
    <w:pPr>
      <w:keepNext/>
      <w:keepLines/>
      <w:numPr>
        <w:ilvl w:val="2"/>
        <w:numId w:val="4"/>
      </w:numPr>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746D5"/>
    <w:pPr>
      <w:keepNext/>
      <w:keepLines/>
      <w:numPr>
        <w:ilvl w:val="3"/>
        <w:numId w:val="4"/>
      </w:numPr>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BE62E0"/>
    <w:rPr>
      <w:i/>
      <w:iCs/>
      <w:color w:val="808080" w:themeColor="text1" w:themeTint="7F"/>
    </w:rPr>
  </w:style>
  <w:style w:type="character" w:customStyle="1" w:styleId="Heading1Char">
    <w:name w:val="Heading 1 Char"/>
    <w:basedOn w:val="DefaultParagraphFont"/>
    <w:link w:val="Heading1"/>
    <w:uiPriority w:val="9"/>
    <w:rsid w:val="003C30AC"/>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1C4294"/>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1C4294"/>
    <w:rPr>
      <w:rFonts w:ascii="Arial" w:eastAsiaTheme="majorEastAsia" w:hAnsi="Arial" w:cstheme="majorBidi"/>
      <w:b/>
      <w:bCs/>
      <w:lang w:val="en-CA"/>
    </w:rPr>
  </w:style>
  <w:style w:type="character" w:customStyle="1" w:styleId="Heading4Char">
    <w:name w:val="Heading 4 Char"/>
    <w:basedOn w:val="DefaultParagraphFont"/>
    <w:link w:val="Heading4"/>
    <w:uiPriority w:val="9"/>
    <w:rsid w:val="009D6DD7"/>
    <w:rPr>
      <w:rFonts w:ascii="Arial" w:eastAsiaTheme="majorEastAsia" w:hAnsi="Arial" w:cstheme="majorBidi"/>
      <w:b/>
      <w:bCs/>
      <w:i/>
      <w:iCs/>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220852"/>
  </w:style>
  <w:style w:type="paragraph" w:styleId="TOC2">
    <w:name w:val="toc 2"/>
    <w:basedOn w:val="Normal"/>
    <w:next w:val="Normal"/>
    <w:autoRedefine/>
    <w:uiPriority w:val="39"/>
    <w:unhideWhenUsed/>
    <w:rsid w:val="00220852"/>
    <w:pPr>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F53B8"/>
    <w:pPr>
      <w:numPr>
        <w:numId w:val="5"/>
      </w:numPr>
    </w:pPr>
  </w:style>
  <w:style w:type="character" w:customStyle="1" w:styleId="BulletChar">
    <w:name w:val="Bullet Char"/>
    <w:basedOn w:val="DefaultParagraphFont"/>
    <w:link w:val="Bullet"/>
    <w:rsid w:val="007F53B8"/>
    <w:rPr>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cs="Arial"/>
      <w:szCs w:val="20"/>
    </w:rPr>
  </w:style>
  <w:style w:type="paragraph" w:styleId="TOC3">
    <w:name w:val="toc 3"/>
    <w:basedOn w:val="Normal"/>
    <w:next w:val="Normal"/>
    <w:autoRedefine/>
    <w:uiPriority w:val="39"/>
    <w:semiHidden/>
    <w:unhideWhenUsed/>
    <w:rsid w:val="00BC485F"/>
    <w:pPr>
      <w:spacing w:after="100"/>
      <w:ind w:left="480"/>
    </w:pPr>
  </w:style>
  <w:style w:type="paragraph" w:customStyle="1" w:styleId="Bullet2">
    <w:name w:val="Bullet 2"/>
    <w:basedOn w:val="ListParagraph"/>
    <w:uiPriority w:val="99"/>
    <w:qFormat/>
    <w:rsid w:val="00086064"/>
    <w:pPr>
      <w:numPr>
        <w:numId w:val="6"/>
      </w:numPr>
      <w:spacing w:after="240"/>
      <w:contextualSpacing w:val="0"/>
    </w:pPr>
  </w:style>
  <w:style w:type="paragraph" w:styleId="ListParagraph">
    <w:name w:val="List Paragraph"/>
    <w:basedOn w:val="Normal"/>
    <w:uiPriority w:val="34"/>
    <w:rsid w:val="00086064"/>
    <w:pPr>
      <w:ind w:left="720"/>
      <w:contextualSpacing/>
    </w:pPr>
    <w:rPr>
      <w:rFonts w:eastAsiaTheme="minorHAnsi"/>
      <w:szCs w:val="22"/>
    </w:rPr>
  </w:style>
  <w:style w:type="paragraph" w:styleId="FootnoteText">
    <w:name w:val="footnote text"/>
    <w:basedOn w:val="Normal"/>
    <w:link w:val="FootnoteTextChar"/>
    <w:uiPriority w:val="99"/>
    <w:semiHidden/>
    <w:unhideWhenUsed/>
    <w:rsid w:val="00086064"/>
    <w:rPr>
      <w:rFonts w:eastAsiaTheme="minorHAnsi"/>
      <w:sz w:val="20"/>
      <w:szCs w:val="20"/>
    </w:rPr>
  </w:style>
  <w:style w:type="character" w:customStyle="1" w:styleId="FootnoteTextChar">
    <w:name w:val="Footnote Text Char"/>
    <w:basedOn w:val="DefaultParagraphFont"/>
    <w:link w:val="FootnoteText"/>
    <w:uiPriority w:val="99"/>
    <w:semiHidden/>
    <w:rsid w:val="00086064"/>
    <w:rPr>
      <w:sz w:val="20"/>
      <w:szCs w:val="20"/>
      <w:lang w:val="en-CA"/>
    </w:rPr>
  </w:style>
  <w:style w:type="character" w:styleId="FootnoteReference">
    <w:name w:val="footnote reference"/>
    <w:basedOn w:val="DefaultParagraphFont"/>
    <w:uiPriority w:val="99"/>
    <w:semiHidden/>
    <w:unhideWhenUsed/>
    <w:rsid w:val="00086064"/>
    <w:rPr>
      <w:vertAlign w:val="superscript"/>
    </w:rPr>
  </w:style>
  <w:style w:type="character" w:customStyle="1" w:styleId="style91">
    <w:name w:val="style91"/>
    <w:basedOn w:val="DefaultParagraphFont"/>
    <w:rsid w:val="00086064"/>
    <w:rPr>
      <w:rFonts w:ascii="Arial Narrow" w:hAnsi="Arial Narrow" w:hint="default"/>
      <w:b/>
      <w:bCs/>
      <w:color w:val="003366"/>
      <w:sz w:val="48"/>
      <w:szCs w:val="48"/>
    </w:rPr>
  </w:style>
  <w:style w:type="character" w:styleId="Hyperlink">
    <w:name w:val="Hyperlink"/>
    <w:basedOn w:val="DefaultParagraphFont"/>
    <w:uiPriority w:val="99"/>
    <w:rsid w:val="00086064"/>
    <w:rPr>
      <w:color w:val="0000FF"/>
      <w:u w:val="single"/>
    </w:rPr>
  </w:style>
  <w:style w:type="paragraph" w:styleId="BalloonText">
    <w:name w:val="Balloon Text"/>
    <w:basedOn w:val="Normal"/>
    <w:link w:val="BalloonTextChar"/>
    <w:uiPriority w:val="99"/>
    <w:semiHidden/>
    <w:unhideWhenUsed/>
    <w:rsid w:val="00086064"/>
    <w:rPr>
      <w:rFonts w:ascii="Tahoma" w:hAnsi="Tahoma" w:cs="Tahoma"/>
      <w:sz w:val="16"/>
      <w:szCs w:val="16"/>
    </w:rPr>
  </w:style>
  <w:style w:type="character" w:customStyle="1" w:styleId="BalloonTextChar">
    <w:name w:val="Balloon Text Char"/>
    <w:basedOn w:val="DefaultParagraphFont"/>
    <w:link w:val="BalloonText"/>
    <w:uiPriority w:val="99"/>
    <w:semiHidden/>
    <w:rsid w:val="00086064"/>
    <w:rPr>
      <w:rFonts w:ascii="Tahoma" w:eastAsia="Times New Roman" w:hAnsi="Tahoma" w:cs="Tahoma"/>
      <w:sz w:val="16"/>
      <w:szCs w:val="16"/>
      <w:lang w:val="en-CA"/>
    </w:rPr>
  </w:style>
  <w:style w:type="paragraph" w:customStyle="1" w:styleId="Default">
    <w:name w:val="Default"/>
    <w:rsid w:val="00086064"/>
    <w:pPr>
      <w:autoSpaceDE w:val="0"/>
      <w:autoSpaceDN w:val="0"/>
      <w:adjustRightInd w:val="0"/>
      <w:spacing w:after="0" w:line="240" w:lineRule="auto"/>
    </w:pPr>
    <w:rPr>
      <w:rFonts w:ascii="Minion Pro" w:hAnsi="Minion Pro" w:cs="Minion Pro"/>
      <w:color w:val="000000"/>
      <w:szCs w:val="24"/>
      <w:lang w:val="en-CA"/>
    </w:rPr>
  </w:style>
  <w:style w:type="character" w:styleId="FollowedHyperlink">
    <w:name w:val="FollowedHyperlink"/>
    <w:basedOn w:val="DefaultParagraphFont"/>
    <w:uiPriority w:val="99"/>
    <w:semiHidden/>
    <w:unhideWhenUsed/>
    <w:rsid w:val="003B5948"/>
    <w:rPr>
      <w:color w:val="800080" w:themeColor="followedHyperlink"/>
      <w:u w:val="single"/>
    </w:rPr>
  </w:style>
  <w:style w:type="character" w:styleId="Strong">
    <w:name w:val="Strong"/>
    <w:basedOn w:val="DefaultParagraphFont"/>
    <w:uiPriority w:val="22"/>
    <w:qFormat/>
    <w:rsid w:val="00AA36D1"/>
    <w:rPr>
      <w:b/>
      <w:bCs/>
    </w:rPr>
  </w:style>
  <w:style w:type="paragraph" w:customStyle="1" w:styleId="PRANormal">
    <w:name w:val="PRA Normal"/>
    <w:basedOn w:val="Normal"/>
    <w:link w:val="PRANormalChar"/>
    <w:uiPriority w:val="99"/>
    <w:rsid w:val="00AA36D1"/>
    <w:pPr>
      <w:tabs>
        <w:tab w:val="left" w:pos="360"/>
      </w:tabs>
      <w:spacing w:after="240"/>
      <w:ind w:left="2880"/>
    </w:pPr>
    <w:rPr>
      <w:szCs w:val="20"/>
    </w:rPr>
  </w:style>
  <w:style w:type="character" w:customStyle="1" w:styleId="PRANormalChar">
    <w:name w:val="PRA Normal Char"/>
    <w:basedOn w:val="DefaultParagraphFont"/>
    <w:link w:val="PRANormal"/>
    <w:uiPriority w:val="99"/>
    <w:locked/>
    <w:rsid w:val="00AA36D1"/>
    <w:rPr>
      <w:rFonts w:eastAsia="Times New Roman"/>
      <w:szCs w:val="20"/>
      <w:lang w:val="en-CA"/>
    </w:rPr>
  </w:style>
  <w:style w:type="paragraph" w:customStyle="1" w:styleId="authors4">
    <w:name w:val="authors4"/>
    <w:basedOn w:val="Normal"/>
    <w:rsid w:val="00506A43"/>
    <w:pPr>
      <w:spacing w:line="360" w:lineRule="atLeast"/>
    </w:pPr>
    <w:rPr>
      <w:color w:val="666666"/>
      <w:sz w:val="17"/>
      <w:szCs w:val="17"/>
      <w:lang w:eastAsia="en-CA"/>
    </w:rPr>
  </w:style>
  <w:style w:type="paragraph" w:customStyle="1" w:styleId="citationline5">
    <w:name w:val="citationline5"/>
    <w:basedOn w:val="Normal"/>
    <w:rsid w:val="00506A43"/>
    <w:pPr>
      <w:spacing w:line="360" w:lineRule="atLeast"/>
    </w:pPr>
    <w:rPr>
      <w:color w:val="666666"/>
      <w:sz w:val="17"/>
      <w:szCs w:val="17"/>
      <w:lang w:eastAsia="en-CA"/>
    </w:rPr>
  </w:style>
  <w:style w:type="character" w:customStyle="1" w:styleId="citation">
    <w:name w:val="citation"/>
    <w:basedOn w:val="DefaultParagraphFont"/>
    <w:rsid w:val="00506A43"/>
  </w:style>
  <w:style w:type="character" w:styleId="CommentReference">
    <w:name w:val="annotation reference"/>
    <w:basedOn w:val="DefaultParagraphFont"/>
    <w:uiPriority w:val="99"/>
    <w:semiHidden/>
    <w:unhideWhenUsed/>
    <w:rsid w:val="008531EE"/>
    <w:rPr>
      <w:sz w:val="16"/>
      <w:szCs w:val="16"/>
    </w:rPr>
  </w:style>
  <w:style w:type="paragraph" w:styleId="CommentText">
    <w:name w:val="annotation text"/>
    <w:basedOn w:val="Normal"/>
    <w:link w:val="CommentTextChar"/>
    <w:uiPriority w:val="99"/>
    <w:semiHidden/>
    <w:unhideWhenUsed/>
    <w:rsid w:val="008531EE"/>
    <w:rPr>
      <w:sz w:val="20"/>
      <w:szCs w:val="20"/>
    </w:rPr>
  </w:style>
  <w:style w:type="character" w:customStyle="1" w:styleId="CommentTextChar">
    <w:name w:val="Comment Text Char"/>
    <w:basedOn w:val="DefaultParagraphFont"/>
    <w:link w:val="CommentText"/>
    <w:uiPriority w:val="99"/>
    <w:semiHidden/>
    <w:rsid w:val="008531EE"/>
    <w:rPr>
      <w:rFonts w:eastAsia="Times New Roman"/>
      <w:sz w:val="20"/>
      <w:szCs w:val="20"/>
      <w:lang w:val="en-CA"/>
    </w:rPr>
  </w:style>
  <w:style w:type="paragraph" w:styleId="CommentSubject">
    <w:name w:val="annotation subject"/>
    <w:basedOn w:val="CommentText"/>
    <w:next w:val="CommentText"/>
    <w:link w:val="CommentSubjectChar"/>
    <w:uiPriority w:val="99"/>
    <w:semiHidden/>
    <w:unhideWhenUsed/>
    <w:rsid w:val="008531EE"/>
    <w:rPr>
      <w:b/>
      <w:bCs/>
    </w:rPr>
  </w:style>
  <w:style w:type="character" w:customStyle="1" w:styleId="CommentSubjectChar">
    <w:name w:val="Comment Subject Char"/>
    <w:basedOn w:val="CommentTextChar"/>
    <w:link w:val="CommentSubject"/>
    <w:uiPriority w:val="99"/>
    <w:semiHidden/>
    <w:rsid w:val="008531EE"/>
    <w:rPr>
      <w:b/>
      <w:bCs/>
    </w:rPr>
  </w:style>
  <w:style w:type="paragraph" w:styleId="Header">
    <w:name w:val="header"/>
    <w:basedOn w:val="Normal"/>
    <w:link w:val="HeaderChar"/>
    <w:uiPriority w:val="99"/>
    <w:unhideWhenUsed/>
    <w:rsid w:val="00AD73E1"/>
    <w:pPr>
      <w:tabs>
        <w:tab w:val="center" w:pos="4680"/>
        <w:tab w:val="right" w:pos="9360"/>
      </w:tabs>
    </w:pPr>
  </w:style>
  <w:style w:type="character" w:customStyle="1" w:styleId="HeaderChar">
    <w:name w:val="Header Char"/>
    <w:basedOn w:val="DefaultParagraphFont"/>
    <w:link w:val="Header"/>
    <w:uiPriority w:val="99"/>
    <w:rsid w:val="00AD73E1"/>
    <w:rPr>
      <w:rFonts w:eastAsia="Times New Roman"/>
      <w:szCs w:val="24"/>
      <w:lang w:val="en-CA"/>
    </w:rPr>
  </w:style>
  <w:style w:type="paragraph" w:styleId="Footer">
    <w:name w:val="footer"/>
    <w:basedOn w:val="Normal"/>
    <w:link w:val="FooterChar"/>
    <w:uiPriority w:val="99"/>
    <w:semiHidden/>
    <w:unhideWhenUsed/>
    <w:rsid w:val="00AD73E1"/>
    <w:pPr>
      <w:tabs>
        <w:tab w:val="center" w:pos="4680"/>
        <w:tab w:val="right" w:pos="9360"/>
      </w:tabs>
    </w:pPr>
  </w:style>
  <w:style w:type="character" w:customStyle="1" w:styleId="FooterChar">
    <w:name w:val="Footer Char"/>
    <w:basedOn w:val="DefaultParagraphFont"/>
    <w:link w:val="Footer"/>
    <w:uiPriority w:val="99"/>
    <w:semiHidden/>
    <w:rsid w:val="00AD73E1"/>
    <w:rPr>
      <w:rFonts w:eastAsia="Times New Roman"/>
      <w:szCs w:val="24"/>
      <w:lang w:val="en-CA"/>
    </w:rPr>
  </w:style>
</w:styles>
</file>

<file path=word/webSettings.xml><?xml version="1.0" encoding="utf-8"?>
<w:webSettings xmlns:r="http://schemas.openxmlformats.org/officeDocument/2006/relationships" xmlns:w="http://schemas.openxmlformats.org/wordprocessingml/2006/main">
  <w:divs>
    <w:div w:id="11300983">
      <w:bodyDiv w:val="1"/>
      <w:marLeft w:val="0"/>
      <w:marRight w:val="0"/>
      <w:marTop w:val="0"/>
      <w:marBottom w:val="0"/>
      <w:divBdr>
        <w:top w:val="none" w:sz="0" w:space="0" w:color="auto"/>
        <w:left w:val="none" w:sz="0" w:space="0" w:color="auto"/>
        <w:bottom w:val="none" w:sz="0" w:space="0" w:color="auto"/>
        <w:right w:val="none" w:sz="0" w:space="0" w:color="auto"/>
      </w:divBdr>
      <w:divsChild>
        <w:div w:id="1665665288">
          <w:marLeft w:val="0"/>
          <w:marRight w:val="0"/>
          <w:marTop w:val="0"/>
          <w:marBottom w:val="0"/>
          <w:divBdr>
            <w:top w:val="single" w:sz="2" w:space="0" w:color="CCCCCC"/>
            <w:left w:val="single" w:sz="6" w:space="11" w:color="CCCCCC"/>
            <w:bottom w:val="single" w:sz="6" w:space="0" w:color="CCCCCC"/>
            <w:right w:val="single" w:sz="6" w:space="11" w:color="CCCCCC"/>
          </w:divBdr>
          <w:divsChild>
            <w:div w:id="80304417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227617339">
      <w:bodyDiv w:val="1"/>
      <w:marLeft w:val="0"/>
      <w:marRight w:val="0"/>
      <w:marTop w:val="0"/>
      <w:marBottom w:val="0"/>
      <w:divBdr>
        <w:top w:val="none" w:sz="0" w:space="0" w:color="auto"/>
        <w:left w:val="none" w:sz="0" w:space="0" w:color="auto"/>
        <w:bottom w:val="none" w:sz="0" w:space="0" w:color="auto"/>
        <w:right w:val="none" w:sz="0" w:space="0" w:color="auto"/>
      </w:divBdr>
      <w:divsChild>
        <w:div w:id="1335843907">
          <w:marLeft w:val="0"/>
          <w:marRight w:val="0"/>
          <w:marTop w:val="0"/>
          <w:marBottom w:val="0"/>
          <w:divBdr>
            <w:top w:val="none" w:sz="0" w:space="0" w:color="auto"/>
            <w:left w:val="none" w:sz="0" w:space="0" w:color="auto"/>
            <w:bottom w:val="none" w:sz="0" w:space="0" w:color="auto"/>
            <w:right w:val="none" w:sz="0" w:space="0" w:color="auto"/>
          </w:divBdr>
          <w:divsChild>
            <w:div w:id="935555392">
              <w:marLeft w:val="0"/>
              <w:marRight w:val="0"/>
              <w:marTop w:val="0"/>
              <w:marBottom w:val="0"/>
              <w:divBdr>
                <w:top w:val="none" w:sz="0" w:space="0" w:color="auto"/>
                <w:left w:val="none" w:sz="0" w:space="0" w:color="auto"/>
                <w:bottom w:val="none" w:sz="0" w:space="0" w:color="auto"/>
                <w:right w:val="none" w:sz="0" w:space="0" w:color="auto"/>
              </w:divBdr>
              <w:divsChild>
                <w:div w:id="9916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4465">
      <w:bodyDiv w:val="1"/>
      <w:marLeft w:val="0"/>
      <w:marRight w:val="0"/>
      <w:marTop w:val="0"/>
      <w:marBottom w:val="0"/>
      <w:divBdr>
        <w:top w:val="none" w:sz="0" w:space="0" w:color="auto"/>
        <w:left w:val="none" w:sz="0" w:space="0" w:color="auto"/>
        <w:bottom w:val="none" w:sz="0" w:space="0" w:color="auto"/>
        <w:right w:val="none" w:sz="0" w:space="0" w:color="auto"/>
      </w:divBdr>
      <w:divsChild>
        <w:div w:id="1667318491">
          <w:marLeft w:val="0"/>
          <w:marRight w:val="0"/>
          <w:marTop w:val="0"/>
          <w:marBottom w:val="0"/>
          <w:divBdr>
            <w:top w:val="none" w:sz="0" w:space="0" w:color="auto"/>
            <w:left w:val="none" w:sz="0" w:space="0" w:color="auto"/>
            <w:bottom w:val="none" w:sz="0" w:space="0" w:color="auto"/>
            <w:right w:val="none" w:sz="0" w:space="0" w:color="auto"/>
          </w:divBdr>
          <w:divsChild>
            <w:div w:id="2089694568">
              <w:marLeft w:val="0"/>
              <w:marRight w:val="0"/>
              <w:marTop w:val="0"/>
              <w:marBottom w:val="0"/>
              <w:divBdr>
                <w:top w:val="none" w:sz="0" w:space="0" w:color="auto"/>
                <w:left w:val="none" w:sz="0" w:space="0" w:color="auto"/>
                <w:bottom w:val="none" w:sz="0" w:space="0" w:color="auto"/>
                <w:right w:val="none" w:sz="0" w:space="0" w:color="auto"/>
              </w:divBdr>
              <w:divsChild>
                <w:div w:id="244074090">
                  <w:marLeft w:val="0"/>
                  <w:marRight w:val="0"/>
                  <w:marTop w:val="0"/>
                  <w:marBottom w:val="0"/>
                  <w:divBdr>
                    <w:top w:val="none" w:sz="0" w:space="0" w:color="auto"/>
                    <w:left w:val="none" w:sz="0" w:space="0" w:color="auto"/>
                    <w:bottom w:val="none" w:sz="0" w:space="0" w:color="auto"/>
                    <w:right w:val="none" w:sz="0" w:space="0" w:color="auto"/>
                  </w:divBdr>
                  <w:divsChild>
                    <w:div w:id="1207833705">
                      <w:marLeft w:val="0"/>
                      <w:marRight w:val="0"/>
                      <w:marTop w:val="0"/>
                      <w:marBottom w:val="0"/>
                      <w:divBdr>
                        <w:top w:val="none" w:sz="0" w:space="0" w:color="auto"/>
                        <w:left w:val="none" w:sz="0" w:space="0" w:color="auto"/>
                        <w:bottom w:val="none" w:sz="0" w:space="0" w:color="auto"/>
                        <w:right w:val="none" w:sz="0" w:space="0" w:color="auto"/>
                      </w:divBdr>
                      <w:divsChild>
                        <w:div w:id="223755557">
                          <w:marLeft w:val="0"/>
                          <w:marRight w:val="0"/>
                          <w:marTop w:val="0"/>
                          <w:marBottom w:val="0"/>
                          <w:divBdr>
                            <w:top w:val="none" w:sz="0" w:space="0" w:color="auto"/>
                            <w:left w:val="none" w:sz="0" w:space="0" w:color="auto"/>
                            <w:bottom w:val="none" w:sz="0" w:space="0" w:color="auto"/>
                            <w:right w:val="none" w:sz="0" w:space="0" w:color="auto"/>
                          </w:divBdr>
                          <w:divsChild>
                            <w:div w:id="1046954803">
                              <w:marLeft w:val="0"/>
                              <w:marRight w:val="0"/>
                              <w:marTop w:val="0"/>
                              <w:marBottom w:val="0"/>
                              <w:divBdr>
                                <w:top w:val="none" w:sz="0" w:space="0" w:color="auto"/>
                                <w:left w:val="none" w:sz="0" w:space="0" w:color="auto"/>
                                <w:bottom w:val="none" w:sz="0" w:space="0" w:color="auto"/>
                                <w:right w:val="none" w:sz="0" w:space="0" w:color="auto"/>
                              </w:divBdr>
                              <w:divsChild>
                                <w:div w:id="69276635">
                                  <w:marLeft w:val="0"/>
                                  <w:marRight w:val="0"/>
                                  <w:marTop w:val="0"/>
                                  <w:marBottom w:val="0"/>
                                  <w:divBdr>
                                    <w:top w:val="none" w:sz="0" w:space="0" w:color="auto"/>
                                    <w:left w:val="none" w:sz="0" w:space="0" w:color="auto"/>
                                    <w:bottom w:val="none" w:sz="0" w:space="0" w:color="auto"/>
                                    <w:right w:val="none" w:sz="0" w:space="0" w:color="auto"/>
                                  </w:divBdr>
                                  <w:divsChild>
                                    <w:div w:id="16799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health/phc/pin/docs/cea.pdf"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86A3-7683-42E9-B1F6-5B49DEA2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Greg Mason</cp:lastModifiedBy>
  <cp:revision>2</cp:revision>
  <cp:lastPrinted>2012-06-17T21:46:00Z</cp:lastPrinted>
  <dcterms:created xsi:type="dcterms:W3CDTF">2012-06-18T16:54:00Z</dcterms:created>
  <dcterms:modified xsi:type="dcterms:W3CDTF">2012-06-18T16:54:00Z</dcterms:modified>
</cp:coreProperties>
</file>